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18" w:rsidRPr="001F7F18" w:rsidRDefault="001F7F18" w:rsidP="001F7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F7F18" w:rsidRDefault="001F7F18" w:rsidP="005A6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E92" w:rsidRDefault="005A6747" w:rsidP="005A6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747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№</w:t>
      </w:r>
      <w:r w:rsid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5A6747">
        <w:rPr>
          <w:rFonts w:ascii="Times New Roman" w:hAnsi="Times New Roman" w:cs="Times New Roman"/>
          <w:sz w:val="24"/>
          <w:szCs w:val="24"/>
        </w:rPr>
        <w:t>6 ОТ 27 АВГУСТ 2013</w:t>
      </w:r>
      <w:r w:rsid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5A6747">
        <w:rPr>
          <w:rFonts w:ascii="Times New Roman" w:hAnsi="Times New Roman" w:cs="Times New Roman"/>
          <w:sz w:val="24"/>
          <w:szCs w:val="24"/>
        </w:rPr>
        <w:t>Г. ЗА УСЛОВИЯТА И ИЗИСКВАНИЯТА ЗА ИЗГРАЖДАНЕ И ЕКСПЛОАТАЦИЯ НА ДЕПА И ДРУГИ СЪОРЪЖЕНИЯ И ИНСТАЛАЦИИ ЗА ОПОЛЗОТВОРЯВАНЕ</w:t>
      </w:r>
      <w:r w:rsidR="0083330D">
        <w:rPr>
          <w:rFonts w:ascii="Times New Roman" w:hAnsi="Times New Roman" w:cs="Times New Roman"/>
          <w:sz w:val="24"/>
          <w:szCs w:val="24"/>
        </w:rPr>
        <w:t xml:space="preserve"> </w:t>
      </w:r>
      <w:r w:rsidRPr="005A6747">
        <w:rPr>
          <w:rFonts w:ascii="Times New Roman" w:hAnsi="Times New Roman" w:cs="Times New Roman"/>
          <w:sz w:val="24"/>
          <w:szCs w:val="24"/>
        </w:rPr>
        <w:t xml:space="preserve"> И ОБЕЗВРЕЖДАНЕ НА ОТПАДЪЦИ</w:t>
      </w:r>
      <w:r>
        <w:rPr>
          <w:rFonts w:ascii="Times New Roman" w:hAnsi="Times New Roman" w:cs="Times New Roman"/>
          <w:sz w:val="24"/>
          <w:szCs w:val="24"/>
        </w:rPr>
        <w:t xml:space="preserve"> (ОБН., ДВ, БР.80/2013Г.)</w:t>
      </w:r>
    </w:p>
    <w:p w:rsidR="005A6747" w:rsidRDefault="005A6747" w:rsidP="005A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616268">
        <w:rPr>
          <w:rFonts w:ascii="Times New Roman" w:hAnsi="Times New Roman" w:cs="Times New Roman"/>
          <w:sz w:val="24"/>
          <w:szCs w:val="24"/>
        </w:rPr>
        <w:t>В чл. 14</w:t>
      </w:r>
      <w:r w:rsidR="007B0EE5">
        <w:rPr>
          <w:rFonts w:ascii="Times New Roman" w:hAnsi="Times New Roman" w:cs="Times New Roman"/>
          <w:sz w:val="24"/>
          <w:szCs w:val="24"/>
        </w:rPr>
        <w:t>, ал. 2</w:t>
      </w:r>
      <w:r w:rsidR="00616268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:rsidR="00616268" w:rsidRDefault="00616268" w:rsidP="005A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B0EE5"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.6 се </w:t>
      </w:r>
      <w:r w:rsidR="007B0EE5">
        <w:rPr>
          <w:rFonts w:ascii="Times New Roman" w:hAnsi="Times New Roman" w:cs="Times New Roman"/>
          <w:sz w:val="24"/>
          <w:szCs w:val="24"/>
        </w:rPr>
        <w:t>отменя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268" w:rsidRDefault="00616268" w:rsidP="005A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В </w:t>
      </w:r>
      <w:r w:rsidR="00EE032B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2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след думата „</w:t>
      </w:r>
      <w:r w:rsidR="00805E89">
        <w:rPr>
          <w:rFonts w:ascii="Times New Roman" w:hAnsi="Times New Roman" w:cs="Times New Roman"/>
          <w:sz w:val="24"/>
          <w:szCs w:val="24"/>
        </w:rPr>
        <w:t>хидр</w:t>
      </w:r>
      <w:r>
        <w:rPr>
          <w:rFonts w:ascii="Times New Roman" w:hAnsi="Times New Roman" w:cs="Times New Roman"/>
          <w:sz w:val="24"/>
          <w:szCs w:val="24"/>
        </w:rPr>
        <w:t>оте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хническа“</w:t>
      </w:r>
      <w:r w:rsidR="00805E89">
        <w:rPr>
          <w:rFonts w:ascii="Times New Roman" w:hAnsi="Times New Roman" w:cs="Times New Roman"/>
          <w:sz w:val="24"/>
          <w:szCs w:val="24"/>
        </w:rPr>
        <w:t xml:space="preserve"> се добавя</w:t>
      </w:r>
      <w:r w:rsidR="008333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думите „включително земна основа“.</w:t>
      </w:r>
    </w:p>
    <w:p w:rsidR="00895011" w:rsidRDefault="00616268" w:rsidP="005A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§2. </w:t>
      </w:r>
      <w:r w:rsidR="00895011">
        <w:rPr>
          <w:rFonts w:ascii="Times New Roman" w:hAnsi="Times New Roman" w:cs="Times New Roman"/>
          <w:sz w:val="24"/>
          <w:szCs w:val="24"/>
        </w:rPr>
        <w:t>В чл.42, ал.1 се правят следните изменения:</w:t>
      </w:r>
    </w:p>
    <w:p w:rsidR="00616268" w:rsidRDefault="00895011" w:rsidP="0089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616268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2 думите „компетентният орган“ се заменят с думите „директорът на РИОСВ</w:t>
      </w:r>
      <w:r w:rsidR="0094122A">
        <w:rPr>
          <w:rFonts w:ascii="Times New Roman" w:hAnsi="Times New Roman" w:cs="Times New Roman"/>
          <w:sz w:val="24"/>
          <w:szCs w:val="24"/>
        </w:rPr>
        <w:t>, на чиято територия е разположено депото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95011" w:rsidRDefault="00895011" w:rsidP="0089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т.3 думите „компетентният орган“ се заменят с думите „директорът на РИОСВ</w:t>
      </w:r>
      <w:r w:rsidR="0094122A">
        <w:rPr>
          <w:rFonts w:ascii="Times New Roman" w:hAnsi="Times New Roman" w:cs="Times New Roman"/>
          <w:sz w:val="24"/>
          <w:szCs w:val="24"/>
        </w:rPr>
        <w:t xml:space="preserve">, </w:t>
      </w:r>
      <w:r w:rsidR="0094122A" w:rsidRPr="0094122A">
        <w:rPr>
          <w:rFonts w:ascii="Times New Roman" w:hAnsi="Times New Roman" w:cs="Times New Roman"/>
          <w:sz w:val="24"/>
          <w:szCs w:val="24"/>
        </w:rPr>
        <w:t>на чиято територия е разположено депото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854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AD" w:rsidRDefault="001841AD" w:rsidP="001841A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06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>.Чл.66, ал.3, т.4 са изменя както следва:</w:t>
      </w:r>
    </w:p>
    <w:p w:rsidR="001841AD" w:rsidRDefault="001841AD" w:rsidP="0018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„4. Правила за осигуряване на з</w:t>
      </w:r>
      <w:r w:rsidR="00C97B7E">
        <w:rPr>
          <w:rFonts w:ascii="Times New Roman" w:hAnsi="Times New Roman" w:cs="Times New Roman"/>
          <w:sz w:val="24"/>
          <w:szCs w:val="24"/>
        </w:rPr>
        <w:t>драв</w:t>
      </w:r>
      <w:r>
        <w:rPr>
          <w:rFonts w:ascii="Times New Roman" w:hAnsi="Times New Roman" w:cs="Times New Roman"/>
          <w:sz w:val="24"/>
          <w:szCs w:val="24"/>
        </w:rPr>
        <w:t>ословни и безопасни условия на труд и действия при кризисни ситуации в съоръжения и инсталации за обезвреждане на отпадъци</w:t>
      </w:r>
      <w:r w:rsidR="00C97B7E">
        <w:rPr>
          <w:rFonts w:ascii="Times New Roman" w:hAnsi="Times New Roman" w:cs="Times New Roman"/>
          <w:sz w:val="24"/>
          <w:szCs w:val="24"/>
        </w:rPr>
        <w:t>.“</w:t>
      </w:r>
    </w:p>
    <w:p w:rsidR="00F0588F" w:rsidRDefault="00895011" w:rsidP="00F0588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406">
        <w:rPr>
          <w:rFonts w:ascii="Times New Roman" w:hAnsi="Times New Roman" w:cs="Times New Roman"/>
          <w:sz w:val="24"/>
          <w:szCs w:val="24"/>
        </w:rPr>
        <w:t>§</w:t>
      </w:r>
      <w:r w:rsidR="00562B8E">
        <w:rPr>
          <w:rFonts w:ascii="Times New Roman" w:hAnsi="Times New Roman" w:cs="Times New Roman"/>
          <w:sz w:val="24"/>
          <w:szCs w:val="24"/>
        </w:rPr>
        <w:t>4</w:t>
      </w:r>
      <w:r w:rsidRPr="00AA0406">
        <w:rPr>
          <w:rFonts w:ascii="Times New Roman" w:hAnsi="Times New Roman" w:cs="Times New Roman"/>
          <w:sz w:val="24"/>
          <w:szCs w:val="24"/>
        </w:rPr>
        <w:t>.</w:t>
      </w:r>
      <w:r w:rsidR="00BD2962" w:rsidRPr="00AA0406">
        <w:rPr>
          <w:rFonts w:ascii="Times New Roman" w:hAnsi="Times New Roman" w:cs="Times New Roman"/>
          <w:sz w:val="24"/>
          <w:szCs w:val="24"/>
        </w:rPr>
        <w:t xml:space="preserve"> </w:t>
      </w:r>
      <w:r w:rsidR="00805E89" w:rsidRPr="00AA0406">
        <w:rPr>
          <w:rFonts w:ascii="Times New Roman" w:hAnsi="Times New Roman" w:cs="Times New Roman"/>
          <w:sz w:val="24"/>
          <w:szCs w:val="24"/>
        </w:rPr>
        <w:t>В</w:t>
      </w:r>
      <w:r w:rsidR="00281506" w:rsidRPr="00AA0406">
        <w:rPr>
          <w:rFonts w:ascii="Times New Roman" w:hAnsi="Times New Roman" w:cs="Times New Roman"/>
          <w:sz w:val="24"/>
          <w:szCs w:val="24"/>
        </w:rPr>
        <w:t xml:space="preserve"> приложение № 1, част 1, раздел 2 се изменя така: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Раздел 2. Критерии за приемане на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Този раздел определя критериите за приемане на отпадъци за всеки клас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депо, включително критериите за подземно съхраняване.</w:t>
            </w: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E85F2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Допуска се приемане на отпадъци, за които стойностите на параметрите са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85F2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до три пъти по-високи от граничните стойности на параметрите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изброени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 този раздел </w:t>
            </w:r>
            <w:r w:rsidRPr="00E85F2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с изключение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разтворим органичен въглерод (РОВ/DOC) в</w:t>
            </w:r>
          </w:p>
          <w:p w:rsidR="00DF4F32" w:rsidRPr="00AA0406" w:rsidRDefault="00DF4F32" w:rsidP="00AA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т. 2.1.2.1, 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.2,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.2.3,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2.3.1 и 2.4.1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общо разтворими твърди вещества ( ОРТВ/TDS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2A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2.2.2.3 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бензен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толуен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етилбензен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</w:t>
            </w:r>
            <w:r w:rsidR="00AA0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ксилен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(БТЕК/BTEX)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полихлорирани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бифенили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(ПХБ/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PCBs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 и минерални</w:t>
            </w:r>
            <w:r w:rsidR="00AA0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масла в т. 2.1.2.2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 органичен въглерод (ООВ/TOC)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  <w:r w:rsidRPr="00E85F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загуби при накаляване (ЗПН/LOI) и/или общ органичен въглерод</w:t>
            </w:r>
            <w:r w:rsidR="00AA0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ООВ/TOC) в т. 2.4.2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32" w:rsidRPr="008D2399" w:rsidRDefault="00AA0406" w:rsidP="008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DF4F32" w:rsidRPr="00E85F2E">
              <w:rPr>
                <w:rFonts w:ascii="Times New Roman" w:hAnsi="Times New Roman"/>
                <w:b/>
                <w:sz w:val="24"/>
                <w:szCs w:val="24"/>
              </w:rPr>
              <w:t>Допуска се приемане на отпадъци</w:t>
            </w:r>
            <w:r w:rsidR="00DF4F32">
              <w:rPr>
                <w:rFonts w:ascii="Times New Roman" w:hAnsi="Times New Roman"/>
                <w:sz w:val="24"/>
                <w:szCs w:val="24"/>
              </w:rPr>
              <w:t xml:space="preserve">, за които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стойностите на</w:t>
            </w:r>
            <w:r w:rsidR="00DF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общ органичен въглерод (ООВ/TOC) са до два пъти по-високи от граничната</w:t>
            </w:r>
            <w:r w:rsidR="008D23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стойност в т. 2.1.2.</w:t>
            </w:r>
            <w:proofErr w:type="spellStart"/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 w:rsidR="00DF4F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0A">
              <w:rPr>
                <w:rFonts w:ascii="Times New Roman" w:hAnsi="Times New Roman"/>
                <w:b/>
                <w:sz w:val="24"/>
                <w:szCs w:val="24"/>
              </w:rPr>
              <w:t xml:space="preserve">Допуска се приемане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зърнести </w:t>
            </w:r>
            <w:r w:rsidRPr="002A310A">
              <w:rPr>
                <w:rFonts w:ascii="Times New Roman" w:hAnsi="Times New Roman"/>
                <w:b/>
                <w:sz w:val="24"/>
                <w:szCs w:val="24"/>
              </w:rPr>
              <w:t>неопасни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 неорганични отпадъци, за които стойностите на хлориди, </w:t>
            </w:r>
            <w:proofErr w:type="spellStart"/>
            <w:r w:rsidRPr="002A310A">
              <w:rPr>
                <w:rFonts w:ascii="Times New Roman" w:hAnsi="Times New Roman"/>
                <w:sz w:val="24"/>
                <w:szCs w:val="24"/>
              </w:rPr>
              <w:t>флуориди</w:t>
            </w:r>
            <w:proofErr w:type="spellEnd"/>
            <w:r w:rsidRPr="002A310A">
              <w:rPr>
                <w:rFonts w:ascii="Times New Roman" w:hAnsi="Times New Roman"/>
                <w:sz w:val="24"/>
                <w:szCs w:val="24"/>
              </w:rPr>
              <w:t xml:space="preserve"> и сулфати са по-високи от граничните стойности в т. 2.</w:t>
            </w:r>
            <w:proofErr w:type="spellStart"/>
            <w:r w:rsidRPr="002A31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2A310A">
              <w:rPr>
                <w:rFonts w:ascii="Times New Roman" w:hAnsi="Times New Roman"/>
                <w:sz w:val="24"/>
                <w:szCs w:val="24"/>
              </w:rPr>
              <w:t>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самостоятелно депониране на депа за неопасни отпадъци </w:t>
            </w:r>
            <w:r w:rsidRPr="00E85F2E">
              <w:rPr>
                <w:rFonts w:ascii="Times New Roman" w:hAnsi="Times New Roman"/>
                <w:sz w:val="24"/>
                <w:szCs w:val="24"/>
              </w:rPr>
              <w:t>с ниско органично съдържание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310A">
              <w:rPr>
                <w:rFonts w:ascii="Times New Roman" w:hAnsi="Times New Roman"/>
                <w:b/>
                <w:sz w:val="24"/>
                <w:szCs w:val="24"/>
              </w:rPr>
              <w:t>с изключение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3699C">
              <w:rPr>
                <w:rFonts w:ascii="Times New Roman" w:hAnsi="Times New Roman"/>
                <w:sz w:val="24"/>
                <w:szCs w:val="24"/>
              </w:rPr>
              <w:t xml:space="preserve">разтворим органичен въглерод 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>РОВ/DOC</w:t>
            </w:r>
            <w:r w:rsidRPr="002A31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F369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общо разтворими твърди вещества </w:t>
            </w:r>
            <w:r w:rsidRPr="002A310A">
              <w:rPr>
                <w:rFonts w:ascii="Times New Roman" w:hAnsi="Times New Roman"/>
                <w:sz w:val="24"/>
                <w:szCs w:val="24"/>
                <w:lang w:val="ru-RU"/>
              </w:rPr>
              <w:t>ОРТВ/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>TDS в т. 2.</w:t>
            </w:r>
            <w:proofErr w:type="spellStart"/>
            <w:r w:rsidRPr="002A31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2A310A">
              <w:rPr>
                <w:rFonts w:ascii="Times New Roman" w:hAnsi="Times New Roman"/>
                <w:sz w:val="24"/>
                <w:szCs w:val="24"/>
              </w:rPr>
              <w:t xml:space="preserve">.2.3, при наличие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подходящо 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пречиствателно </w:t>
            </w:r>
            <w:r w:rsidRPr="002A31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съоръжение </w:t>
            </w:r>
            <w:r>
              <w:rPr>
                <w:rFonts w:ascii="Times New Roman" w:hAnsi="Times New Roman"/>
                <w:sz w:val="24"/>
                <w:szCs w:val="24"/>
              </w:rPr>
              <w:t>с нужния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 капацитет</w:t>
            </w:r>
            <w:r>
              <w:rPr>
                <w:rFonts w:ascii="Times New Roman" w:hAnsi="Times New Roman"/>
                <w:sz w:val="24"/>
                <w:szCs w:val="24"/>
              </w:rPr>
              <w:t>, осигуряващо необходимата степен на пречистване на</w:t>
            </w:r>
            <w:r w:rsidRPr="002A310A">
              <w:rPr>
                <w:rFonts w:ascii="Times New Roman" w:hAnsi="Times New Roman"/>
                <w:sz w:val="24"/>
                <w:szCs w:val="24"/>
              </w:rPr>
              <w:t xml:space="preserve">  инфилтрата.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Посочените отклонения от граничните стойности на параметрите се допускат, когато: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с условията на разрешението за извършване на дейности с отпадъци или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комплексното разрешително компетентният орган е допуснал това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определени отпадъци, приемани на конкретно депо, като при издаване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разрешението, респ. на комплексното разрешително, органите се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съобразяват с характеристиките на депото и със състоянието на околната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среда;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емисиите (включително и инфилтратът) от депото, вземайки предвид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граничните стойности на параметрите, определени в този раздел, 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представляват допълнителен риск за околната среда съобразно оценката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риска.</w:t>
            </w:r>
          </w:p>
          <w:p w:rsidR="00DF4F32" w:rsidRPr="00D12D1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D12D1E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2.1. Критерии за приемане на отпадъци на депа за инертни отпадъци</w:t>
            </w:r>
          </w:p>
          <w:p w:rsidR="00DF4F32" w:rsidRPr="00D12D1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2.1.</w:t>
            </w:r>
            <w:proofErr w:type="spellStart"/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1</w:t>
            </w:r>
            <w:proofErr w:type="spellEnd"/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. Списък на отпадъци, които се приемат на депа за инертни отпадъци</w:t>
            </w:r>
          </w:p>
          <w:p w:rsidR="00DF4F32" w:rsidRPr="00D12D1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без изпитване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 Приема се, че отпадъците в таблица 1 изпълняват критериите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инертни отпадъци, определени в дефиницията за инертни отпадъци в § 1, 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т. 11 от допълнителните разпоредби и критериите, изброени в т. 2.1.2.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Тези отпадъци се приемат без изпитване на депата за инертни отпадъци.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Таблица 1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Отпадъци, които се приемат на депа за инертни отпадъци без изпитване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0"/>
              <w:gridCol w:w="3210"/>
              <w:gridCol w:w="3225"/>
            </w:tblGrid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Код на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отпадъка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Описание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Ограничения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Pr="005942C0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10 11 0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Отпадъчни материали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 основа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 на стъклени влакна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276289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Само без органични 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DF4F32" w:rsidRDefault="00276289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свързващи вещества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15 01 07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Стъклени опаковки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17 01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01</w:t>
                  </w:r>
                  <w:proofErr w:type="spellEnd"/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Бетон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Само избрани ОСР </w:t>
                  </w:r>
                  <w:r w:rsidRPr="006429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17 01 02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Тухли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Само 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збрани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ОСР </w:t>
                  </w:r>
                  <w:r w:rsidRPr="006429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17 01 03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Керемиди, плочк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 фаянсови и керамични изделия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Само избрани ОСР </w:t>
                  </w:r>
                  <w:r w:rsidRPr="006429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17 01 07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Смеси на бетон, тухли, керемиди, плочки, фаянсови и керамични изделия, различни от споменатите в код 17 01 06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Само избрани ОСР </w:t>
                  </w:r>
                  <w:r w:rsidRPr="006429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17 02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02</w:t>
                  </w:r>
                  <w:proofErr w:type="spellEnd"/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Съкло</w:t>
                  </w:r>
                  <w:proofErr w:type="spellEnd"/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17 05 04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Почва и камъни, различни от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споменатие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в код 17 05 03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С изключение на горен (повърхностен) почвен сой, торф; с изключение на почва и камъни от замърсени терени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19 12 05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Стъкло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20 01 02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Стъкло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Само разделно събрано стъкло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  <w:r w:rsidR="002762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02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02</w:t>
                  </w:r>
                  <w:proofErr w:type="spellEnd"/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Почва и камъни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Само за отпадъци от градини и паркове; с изключение на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горен (повърхностен) почвен слой, торф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Забележка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12D1E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Избрани отпадъци от строителство и разрушаване (ОСР) - с ниско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съдържание на други материали (като метали, пластмаси, почва,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дървесина, каучук и т. н.). Отпадъците трябва да са с известен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произход. Не се допускат: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отпадъци от строителство и разрушаване от сгради, замърсени с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неорганични или органични опасни вещества, например поради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производствени процеси в строителството, замърсяване на почвата,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съхраняване и употреба на пестициди или други опасни вещества и др.,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освен ако не се докаже, че разрушената сграда не е била замърсена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значително;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отпадъци от строителство и разрушаване от сгради, които са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третирани, покрити или боядисвани с материали, съдържащи значителни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количества опасни вещества.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.2. Отпадъците, приемани на депата за инертни отпадъци без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изпитване, трябва да са от един поток (само от един източник), който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включва отпадъци от един вид. Различните отпадъци, съдържащи се в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списъка по чл. 32, ал. 2 за съответното депо, могат да бъдат приемани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заедно, при условие че са от един източник.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.3. В случай на съмнения за замърсяване на инертните отпадъци,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приемани без изпитване, установени след визуална проверка или от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информацията за произхода на отпадъците, се извършва изпитване от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оператора или се отказва приемането на отпадъците в депото. Когато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изброените в списъка отпадъци са замърсени или съдържат други материали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или вещества, като метали, азбест, пластмаси, химични вещества и др.,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 степен, която увеличава риска, свързан с отпадъците, и доказва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необходимостта от приемане на друг клас депо, операторът на депото за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инертни отпадъци може да откаже тяхното приемане на депото.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.4. Когато има съмнения, че отпадъкът не отговаря на определението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инертен отпадък в § 1, т. 11 от допълнителните разпоредби и на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критериите, посочени в т. 2.1.2, или когато има съмнения, че отпадъкът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замърсен, се извършва изпитване на отпадъците по методи, посочени в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раздел 3.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.5. Отпадъците, които не попадат в таблица 1, трябва да бъдат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изпитани, както е регламентирано в раздел 1, за да се определи дали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изпълняват критериите за приемане на отпадъци на депа за инертни</w:t>
            </w:r>
          </w:p>
          <w:p w:rsidR="00DF4F32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отпадъци съгласно т. 2.1.2.</w:t>
            </w:r>
          </w:p>
          <w:p w:rsidR="00DF4F32" w:rsidRPr="00D12D1E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2.1.2. Гранични стойности за приемане на отпадъци на депа за инертни</w:t>
            </w:r>
          </w:p>
          <w:p w:rsidR="00DF4F32" w:rsidRPr="00D12D1E" w:rsidRDefault="00DF4F32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D12D1E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2.1.2.1. Гранични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</w:p>
        </w:tc>
      </w:tr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За отпадъците, приемани на депа за инертни отпадъци, се прилагат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гранични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изчислени при съотношение течно към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твърдо (L/S) 2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общото количество отделен разтвор 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изразено директно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/l за C0 (първият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 изпитването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просмукване при съотношение L/S=0,1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). При изпитване за определяне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на граничните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 таблица 2 се използват методите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изпитване, посочени в раздел 3.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Таблица 2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Гранични стойности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излужване</w:t>
            </w:r>
            <w:proofErr w:type="spellEnd"/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2415"/>
              <w:gridCol w:w="2415"/>
              <w:gridCol w:w="2415"/>
            </w:tblGrid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Компонент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2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10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642901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0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(изпитване за просмукване)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/l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As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0,06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Ba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Cd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Cu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0,9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0,6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Hg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0,003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0,002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Mo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Ni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0,06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Se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0,06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0,04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Zn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1,2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Хлориди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460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Флуориди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Сулфати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560 (1)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1000 (1)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Фенолен</w:t>
                  </w:r>
                  <w:proofErr w:type="spellEnd"/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индекс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Разтворим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органичен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въглерод –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РОВ/DOC (2)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240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160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Общо разтворими твърди вещества –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ОРТВ/TDS (3)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Забележки: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12D1E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отпадъкът не отговаря на стойностите за сулфати, той все още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може да се счита за удовлетворяващ критериите за приемане, ако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резултатите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не надвишават някоя от следните стойности: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/l като C0 при L/S = 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и/или 6000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при L/S = 10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Необходимо е да се проведе изпитване чрез просмукване, за да се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определи граничната стойност при L/S = 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при условия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първоначалното равновесие, докато стойността при L/S = 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може да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бъде определена посредством изпитване чрез партидно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или чрез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изпитване за просмукване при условия, близки до действителните.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отпадъците не отговарят на стойностите за РОВ, определени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тяхната собствена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стойност, те се изпитват при L/S = 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между 7,5 и 8,0. Счита се, че отпадъците изпълняват критериите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приемане за РОВ, ако резултатът от това определяне не надхвърля 500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Стойностите за общо разтворими твърди вещества (ОРТВ) могат да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бъдат използвани вместо стойностите за сулфати и хлориди.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Гранични стойности за общо съдържание на органични вещества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отпадъците, приемани на депа за инертни отпадъци, се прилагат освен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граничните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посочени в таблица 2, и граничните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стойности за общо съдържание на органични вещества съгласно таблица 3.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Таблица 3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Гранични стойности за общо съдържание на органични вещества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45"/>
            </w:tblGrid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Параметър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Стойност,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 органичен въглерод – ООВ/TOC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30 000 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Бензен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толуен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етилбензен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ксилен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– БТЕК/BTEX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Полихлорирани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бифенили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, 7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конгенери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– ПХБ/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PCBs</w:t>
                  </w:r>
                  <w:proofErr w:type="spellEnd"/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Минерални масла (въглеводороди с въглеводородна верига от C10 до C40)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Полициклични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ароматни въглеводороди – ПАВ/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PAHs</w:t>
                  </w:r>
                  <w:proofErr w:type="spellEnd"/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700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Забележка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При почви компетентните органи, издали разрешението за извършване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дейности с отпадъци или комплексното разрешително, могат да позволят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по-високи допустими стойности при условие, че е постигната стойност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от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РОВ при L/S =10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при собственото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почвата или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 стойност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между 7,5 и 8,0.</w:t>
            </w:r>
          </w:p>
          <w:p w:rsidR="00DF4F32" w:rsidRPr="00E34954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2.</w:t>
            </w:r>
            <w:proofErr w:type="spellStart"/>
            <w:r w:rsidRPr="00E34954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2</w:t>
            </w:r>
            <w:proofErr w:type="spellEnd"/>
            <w:r w:rsidRPr="00E34954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. Критерии за приемане на отпадъци на депа за неопасни отпадъци</w:t>
            </w:r>
          </w:p>
          <w:p w:rsidR="00DF4F32" w:rsidRPr="00E34954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</w:t>
            </w:r>
            <w:proofErr w:type="spellStart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</w:t>
            </w:r>
            <w:proofErr w:type="spellEnd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.1. Отпадъци, които могат да се приемат на депа за неопасни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без изпитване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На депа за неопасни отпадъци се допуска приемане без изпитване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битови отпадъци по смисъла на § 1, т. 4 от допълнителните разпоредби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ЗУО, които са класифицирани като неопасни с наредбата по чл. 3 ЗУО,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разделно събрани неопасни домакински отпадъци и подобни неопасни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материали с друг произход.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.1.2. Приемането на отпадъците по т. 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.1.1 може да се отказва,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когато не са били подложени на предварително третиране съгласно чл. 38,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ал. 1 или ако са замърсени до степен, която увеличава риска, свързан с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отпадъците, и доказва необходимостта от приемане в други съоръжения.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.1.3. В клетки, предназначени за стабилни,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нереактивоспособни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опасни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втвърдени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встъклени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отпадъци с интензивност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равнозначна на тази за неопасните отпадъци, може да се отказва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приемането на отпадъците по т. 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Pr="00E34954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</w:t>
            </w:r>
            <w:proofErr w:type="spellStart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</w:t>
            </w:r>
            <w:proofErr w:type="spellEnd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.2. Гранични стойности за приемане на отпадъци на депа за неопасни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.2.1. В таблица 4 са дадени граничните стойности за зърнести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неопасни отпадъци, които се приемат в една и съща клетка с устойчиви,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нереактивоспособни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опасни отпадъци, изчислени при L/S = 2 и 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общото количество отделен разтвор и директно изразено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/l за C0 (в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първия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изпитването за просмукване при L/S =0,1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Зърнестите отпадъци включват всички отпадъци, които не са монолитни.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При изпитване на отпадъците за определяне на граничните стойности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таблица 4 се използват методите, посочени в раздел 3.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Таблица 4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Гранични стойности за зърнести неопасни отпадъци, които се приемат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една и съща клетка с устойчиви,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нереактивоспособни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2415"/>
              <w:gridCol w:w="2415"/>
              <w:gridCol w:w="2430"/>
            </w:tblGrid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Компонент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2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10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CB3B90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0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(изпитване за просмукване)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/l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0,4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Cd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0,6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Cu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Hg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Mo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Ni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Pb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Sb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0,7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Zn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Хлориди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8500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Флуориди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Сулфати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Разтворим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органичен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въглерод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РОВ/DOC (1)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380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Общо разтворими твърди вещества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ОРТВ/TDS (2)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Забележки: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отпадъците не отговарят на стойностите за РОВ, определени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собствената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стойност, те се изпитват при L/S =10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между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7,5 и 8,0. Счита се, че отпадъците изпълняват критериите за приемане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РОВ, ако резултатът от това определяне не превишава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Вместо стойностите за сулфати и хлориди могат да се използват</w:t>
            </w:r>
          </w:p>
          <w:p w:rsidR="00557F34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стойностите за ОРТВ.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Критериите за монолитни отпадъци трябва да гарантират същото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ниво на защита на околната среда, каквото се постига с граничните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стойности за зърнести отпадъци, посочени в таблица 4.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36C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Pr="0046236C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46236C">
              <w:rPr>
                <w:rFonts w:ascii="Times New Roman" w:hAnsi="Times New Roman"/>
                <w:sz w:val="24"/>
                <w:szCs w:val="24"/>
              </w:rPr>
              <w:t xml:space="preserve">.2.3. Условия за приемане на зърнести неопасни неорганични отпадъци на депа за неопасни отпадъци с ниско органично съдържание </w:t>
            </w:r>
          </w:p>
          <w:p w:rsidR="00DF4F32" w:rsidRPr="00F3779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Граничните стойности за приемане на зърнести неопасни неорганични отпадъци, които се депонират самостоятелно на депа за неопасни отпадъци с ниско органично съдържание са посочени в табл. 5 За изпитване на отпадъците при определяне на граничните стойности в таблица 5 се използват методите, посочени в раздел 3.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Гранични стойности за зърнести неопасни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неорганични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отпадъци, които се приемат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самостоятелно на депа за неопасни отпадъци с ниско органично съдържание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2415"/>
              <w:gridCol w:w="2415"/>
              <w:gridCol w:w="2430"/>
            </w:tblGrid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Компонент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2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10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CB3B90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0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(изпитване за просмукване)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/l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0,4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Cd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0,6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Cu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Hg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Mo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Ni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Pb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Sb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0,7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Zn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Хлориди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8500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Флуориди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Сулфати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Разтворим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органичен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въглерод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РОВ/DOC (1)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380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Общо разтворими твърди вещества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ОРТВ/TDS (2)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40 000</w:t>
                  </w:r>
                </w:p>
              </w:tc>
              <w:tc>
                <w:tcPr>
                  <w:tcW w:w="24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60 000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Pr="008D4BDD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Default="00DF4F32" w:rsidP="001841AD">
            <w:pPr>
              <w:pStyle w:val="CommentTex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F4F32" w:rsidRPr="00E85F2E" w:rsidRDefault="00DF4F32" w:rsidP="001841AD">
            <w:pPr>
              <w:pStyle w:val="CommentTex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E85F2E">
              <w:rPr>
                <w:rFonts w:ascii="Times New Roman" w:hAnsi="Times New Roman"/>
                <w:sz w:val="24"/>
                <w:szCs w:val="24"/>
                <w:lang w:val="bg-BG"/>
              </w:rPr>
              <w:t>Допускат се изключения от посочените гранични стойности съгласно условията посочени в Раздел 2 на настоящата наредба.</w:t>
            </w:r>
          </w:p>
          <w:p w:rsidR="00DF4F32" w:rsidRPr="00F35C89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Pr="00E34954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</w:t>
            </w:r>
            <w:proofErr w:type="spellStart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</w:t>
            </w:r>
            <w:proofErr w:type="spellEnd"/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.3. Условия за приемане на отпадъци на основата на гипс на депа за</w:t>
            </w:r>
          </w:p>
          <w:p w:rsidR="00E34954" w:rsidRPr="00E34954" w:rsidRDefault="00DF4F32" w:rsidP="00E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34954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неопасни отпадъци</w:t>
            </w:r>
          </w:p>
          <w:p w:rsidR="00722ADD" w:rsidRPr="00E34954" w:rsidRDefault="0046236C" w:rsidP="00E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Неопасните отпадъци на основата на гипс се обезвреждат само на депа </w:t>
            </w:r>
            <w:proofErr w:type="spellStart"/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занеопасни</w:t>
            </w:r>
            <w:proofErr w:type="spellEnd"/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отпадъци в клетки, къд</w:t>
            </w:r>
            <w:r w:rsidR="00E3495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ето не се приемат </w:t>
            </w:r>
            <w:proofErr w:type="spellStart"/>
            <w:r w:rsidR="00E34954">
              <w:rPr>
                <w:rFonts w:ascii="Times New Roman" w:hAnsi="Times New Roman"/>
                <w:sz w:val="24"/>
                <w:szCs w:val="24"/>
                <w:lang w:val="x-none"/>
              </w:rPr>
              <w:t>биоразградими</w:t>
            </w:r>
            <w:proofErr w:type="spellEnd"/>
            <w:r w:rsidR="00E34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отпадъци. За отпадъци, депонирани з</w:t>
            </w:r>
            <w:r w:rsidR="00E34954">
              <w:rPr>
                <w:rFonts w:ascii="Times New Roman" w:hAnsi="Times New Roman"/>
                <w:sz w:val="24"/>
                <w:szCs w:val="24"/>
                <w:lang w:val="x-none"/>
              </w:rPr>
              <w:t>аедно с отпадъци на основата на</w:t>
            </w:r>
            <w:r w:rsidR="00E34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4F32">
              <w:rPr>
                <w:rFonts w:ascii="Times New Roman" w:hAnsi="Times New Roman"/>
                <w:sz w:val="24"/>
                <w:szCs w:val="24"/>
                <w:lang w:val="x-none"/>
              </w:rPr>
              <w:t>гипс, се прилагат допустимите стойности за ООВ и РОВ в т. 2.3.1 и 2.3.2.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 xml:space="preserve">2.3. Критерии за устойчиви, </w:t>
            </w:r>
            <w:proofErr w:type="spellStart"/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нереактивоспособни</w:t>
            </w:r>
            <w:proofErr w:type="spellEnd"/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 xml:space="preserve"> опасни отпадъци, които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могат да се приемат на депа за неопасни отпадъци съгласно чл. 37, ал.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 xml:space="preserve">1, т. 2, буква "в" 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2.3.1. Гранични стойности на </w:t>
            </w:r>
            <w:proofErr w:type="spellStart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излужване</w:t>
            </w:r>
            <w:proofErr w:type="spellEnd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 за опасни отпадъци, които могат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да се приемат на депа за неопасни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Граничните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зърнести опасни отпадъци,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които се приемат на депа за неопасни отпадъци, изчислени при L/S = 2 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общото количество отделен разтвор и директно изразено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/l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за C0 (в първия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изпитването за просмукване при L/S =0,1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са дадени в таблица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Зърнестите отпадъци включват всички отпадъци,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които не са монолитни. При изпитване на отпадъците за определяне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граничните стойности в таблица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се използват методите, посочени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раздел 3.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Гранични стойности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за зърнести опасни отпадъци, които се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приемат на депа за неопасни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2415"/>
              <w:gridCol w:w="2415"/>
              <w:gridCol w:w="2415"/>
            </w:tblGrid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Компонент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2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10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46236C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0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(изпитване за просмукване)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/l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As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Ba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Cd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0,6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Cu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Hg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0,03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Mo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3,5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Ni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0,7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Se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Zn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Хлориди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8500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Флуориди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Сулфати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Разтворим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органичен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въглерод –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РОВ/DOC (1)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380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Общо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рими твърди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вещества – ОРТВ/TDS (2)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Забележки: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отпадъците не отговарят на стойностите за РОВ, определени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собствената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 на отпадъците, те се изследват при L/S = 10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между 7,5 и 8,0. Счита се, че отпадъците изпълняват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критериите за приемане за РОВ, ако резултатът от това определяне 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превишава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Вместо стойностите за сулфати и хлориди могат да се използват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стойностите за ОРТВ.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2.3.1.2. Критериите за монолитни отпадъци трябва да гарантират същото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ниво на защита на околната среда, каквато се постига при граничните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стойности за зърнести отпадъци, посочени в таблица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2.3.2. Други критерии за приемане на устойчиви, </w:t>
            </w:r>
            <w:proofErr w:type="spellStart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нереактивоспособни</w:t>
            </w:r>
            <w:proofErr w:type="spellEnd"/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опасни отпадъци на депа за неопасни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2.3.2.1. Освен на граничните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съгласно т. 2.3.1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зърнестите опасни отпадъци трябва да отговарят и на посочените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допълнителни критерии.</w:t>
            </w:r>
          </w:p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Допълнителни критерии за зърнестите опасни отпадъци, които се приемат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на депа за неопасни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45"/>
            </w:tblGrid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Параметър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Стойност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Общ органичен въглерод – ООВ/TOC 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5 % (1)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рH</w:t>
                  </w:r>
                  <w:proofErr w:type="spellEnd"/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минимум 6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Киселинен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неутрализационен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капацитет – КНК/ANC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трябва да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се изчисли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Забележка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тази стойност не е достигната, компетентните органи, издали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разрешението за извършване на дейности с отпадъци или комплексното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разрешително, могат да позволят и по-висока допустима стойност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условие, че е постигната стойност от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РОВ при L/S =10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 една от двете стойности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- собственото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материала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между 7,5 и 8.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Зърнестите опасни отпадъци трябва да имат достатъчна физична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стабилност и носеща способност.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2.3.2.3. Критериите за монолитни отпадъци трябва да гарантират, че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опасните монолитни отпадъци са устойчиви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нереактивоспособни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за да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бъдат приети на депа за неопасни отпадъци.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2.3.</w:t>
            </w:r>
            <w:proofErr w:type="spellStart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3</w:t>
            </w:r>
            <w:proofErr w:type="spellEnd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. Условия за приемане на отпадъци, съдържащи азбест, на депа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неопасни отпадъци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Строителните материали, съдържащи азбест и други отпадъци, съдържащи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азбест, се депонират на депа за неопасни отпадъци без изпитване.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Строителни материали, съдържащи азбест и други съдържащи азбест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отпадъци, се приемат на депа за неопасни отпадъци, когато са изпълнени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следните изисквания: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отпадъците не съдържат други опасни вещества освен свързан азбест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(включително влакна, свързани чрез свързващ агент или опаковани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пластмаса);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депото приема само строителни материали, съдържащи азбест и други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азбестови отпадъци; тези отпадъци могат да се депонират и в отделна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клетка на депо за неопасни отпадъци, изградено съгласно изискванията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тази наредба;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в) за да се предотврати разпиляване на азбестови влакна, зоната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депониране се покрива с подходящ материал ежедневно и преди всяка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операция по уплътняване, а когато отпадъците не са пакетирани, се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оросяват редовно с вода;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г) след запълване на депото/клетката се полага горен изолиращ слой,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който предотвратява разпиляване на азбестовите влакна;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д) на депото/клетката не се извършват никакви дейности, които биха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довели до отделяне на азбестови влакна (например пробиване на дупки);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е) след закриване на депото специализираната работна карта по чл. 39,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ал. 3, указваща местоположението на депонираните азбестови отпадъци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депото/клетката, се съхранява за срока по чл. 44, ал. 1; 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ж) след закриване на депото се вземат необходимите мерки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ограничаване на евентуалното използване на земята с оглед избягване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контакта на хора с отпадъците, съдържащи азбест.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депа, които приемат само строителни отпадъци, съдържащи азбест,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изискванията на чл. 18 и 19 могат да се занижат при условие, че са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изпълнени посочените изисквания.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2.4. Критерии за отпадъци, които могат да се приемат на депа за опасни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отпадъци</w:t>
            </w:r>
          </w:p>
          <w:p w:rsidR="00DF4F32" w:rsidRPr="0046236C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2.4.1. Гранични стойности на </w:t>
            </w:r>
            <w:proofErr w:type="spellStart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излужване</w:t>
            </w:r>
            <w:proofErr w:type="spellEnd"/>
            <w:r w:rsidRPr="0046236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 за опасни отпадъци: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2.4.1.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Граничните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зърнести опасни отпадъци,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които се приемат на депа за опасни отпадъци, изчислени при L/S = 2 и 10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общото количество отделен разтвор и директно изразено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/l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C0 (в първия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изпитването за просмукване при L/S=0,1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), са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дадени в таблица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 Зърнестите отпадъци включват всички отпадъци, които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 са монолитни. При изпитване на отпадъците за определяне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граничните стойности от таблица 7 се използват методите за изпитване,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посочени в раздел 3.</w:t>
            </w: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Гранични стойности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за зърнести опасни отпадъци, които се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приемат на депа за 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2415"/>
              <w:gridCol w:w="2415"/>
              <w:gridCol w:w="2415"/>
            </w:tblGrid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Компонент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2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L/S = 10 l/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46236C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0</w:t>
                  </w:r>
                  <w:r w:rsidR="00DF4F3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(изпитване за просмукване)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сухо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вещество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/l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As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Ba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Cd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1,7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Cu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Hg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0,3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Mo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Ni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Pb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Sb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Se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Zn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Хлориди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17 000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15 000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Флуориди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120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Сулфати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25 000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17 000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Разтворим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органичен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въглерод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РОВ/DOC (1)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480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320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Общо разтворими твърди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вещества – 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ОРТВ/TDS (2)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100 000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F4F32" w:rsidTr="001841A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0C" w:rsidRDefault="00EF650C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Забележки: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отпадъците не отговарят на стойностите за РОВ, определени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собствената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стойност, те се изпитват при L/S =10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между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7,5 и 8,0. Счита се, че отпадъците изпълняват критериите за приемане за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РОВ, ако резултатът от това определяне не превишава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Вместо стойностите за сулфати и хлориди могат да се използват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стойностите за ОРТВ.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2.4.1.2.Критериите за монолитни отпадъци трябва да гарантират същото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ниво на защита на околната среда както граничните стойности за зърнести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опасни отпадъци, посочени в таблица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F32" w:rsidRPr="00CB3B90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2.4.2. Други критерии за приемане на зърнести опасни отпадъци на депа</w:t>
            </w:r>
          </w:p>
          <w:p w:rsidR="00DF4F32" w:rsidRPr="00CB3B90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за 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Освен на допустимите стойности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излужване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съгласно т. 2.4.1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зърнестите опасни отпадъци трябва да отговарят и на посочените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таблица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допълнителни критерии.</w:t>
            </w:r>
          </w:p>
          <w:p w:rsidR="00781950" w:rsidRDefault="00781950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F4F32" w:rsidRPr="00E85F2E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Допълнителни критерии за зърнестите опасни отпадъци, които се приемат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на депа за опасни отпадъци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45"/>
            </w:tblGrid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Параметър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Стойност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Загуби при накаляване – ЗПН/LOI (1)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10 %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 органичен въглерод ООВ/TOC (1)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6 % (2)</w:t>
                  </w:r>
                </w:p>
              </w:tc>
            </w:tr>
            <w:tr w:rsidR="00DF4F32" w:rsidTr="001841AD">
              <w:trPr>
                <w:tblCellSpacing w:w="0" w:type="dxa"/>
              </w:trPr>
              <w:tc>
                <w:tcPr>
                  <w:tcW w:w="4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Киселинен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неутрализационен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капацитет – КНК/ANC </w:t>
                  </w:r>
                </w:p>
              </w:tc>
              <w:tc>
                <w:tcPr>
                  <w:tcW w:w="48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трябва да</w:t>
                  </w:r>
                </w:p>
                <w:p w:rsidR="00DF4F32" w:rsidRDefault="00DF4F32" w:rsidP="001841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се изчисли</w:t>
                  </w:r>
                </w:p>
              </w:tc>
            </w:tr>
          </w:tbl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Забележки: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Трябва да се използва ЗПН или ООВ.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B3B9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Ако тази стойност не е достигната, компетентните органи, издали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разрешението за извършване на дейности с отпадъци или комплексното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разрешително, могат да позволят и по-висока допустима стойност при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условие, че е постигната стойност от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РОВ при L/S = 10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kg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при една от двете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стойности - собственото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материала или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между 7,5 и 8,0.</w:t>
            </w:r>
          </w:p>
          <w:p w:rsidR="00DF4F32" w:rsidRPr="00CB3B90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CB3B90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2.5. Критерии за подземно съхраняване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2.5.1. За приемането на отпадъци за подземно съхраняване се извършва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специфично изпитване за безопасността на хранилището съгласно част II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приложението. Отпадъците могат да се приемат за подземно съхраняване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само ако са съвместими с изпитването за безопасност за съответното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хранилище.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2.5.2. В подземно хранилище за инертни отпадъци могат да се приемат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само отпадъци, които удовлетворяват критериите, регламентирани в т. 2.1.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2.5.3. В подземно хранилище за неопасни отпадъци могат да се приемат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само отпадъци, които удовлетворяват критериите, регламентирани в т. 2.2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или 2.3.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2.5.4. В подземно хранилище за опасни отпадъци могат да се приемат само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отпадъци, които са съвместими със специфичното изследване на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безопасността на хранилището. В този случай не се прилагат критериите в</w:t>
            </w:r>
          </w:p>
          <w:p w:rsidR="00DF4F32" w:rsidRDefault="00DF4F32" w:rsidP="0018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т. 2.4, като за отпадъците се прилага процедурата по приемане съгласно</w:t>
            </w:r>
          </w:p>
          <w:p w:rsidR="00DF4F32" w:rsidRPr="00DF4F32" w:rsidRDefault="00DF4F32" w:rsidP="00DF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:rsidR="00281506" w:rsidRDefault="00281506" w:rsidP="00F05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C6D" w:rsidRDefault="00805E8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76">
        <w:rPr>
          <w:rFonts w:ascii="Times New Roman" w:hAnsi="Times New Roman" w:cs="Times New Roman"/>
          <w:sz w:val="24"/>
          <w:szCs w:val="24"/>
        </w:rPr>
        <w:t>§</w:t>
      </w:r>
      <w:r w:rsidR="00E62276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E62276">
        <w:rPr>
          <w:rFonts w:ascii="Times New Roman" w:hAnsi="Times New Roman" w:cs="Times New Roman"/>
          <w:sz w:val="24"/>
          <w:szCs w:val="24"/>
        </w:rPr>
        <w:t>В приложение 2, раздел 4, т.4.6 се изменя както следва:</w:t>
      </w:r>
    </w:p>
    <w:p w:rsidR="00E62276" w:rsidRPr="00E62276" w:rsidRDefault="00E6227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„Горният изолиращ екран се изпълнява поетапно след запълване с отпадъци и приемане на всеки етап (клетка) на депото от РИОСВ, на чиято територия е разположено депото</w:t>
      </w:r>
      <w:r w:rsidR="00496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sectPr w:rsidR="00E62276" w:rsidRPr="00E62276" w:rsidSect="009A3CC2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6E" w:rsidRDefault="00DC136E" w:rsidP="00344A2F">
      <w:pPr>
        <w:spacing w:after="0" w:line="240" w:lineRule="auto"/>
      </w:pPr>
      <w:r>
        <w:separator/>
      </w:r>
    </w:p>
  </w:endnote>
  <w:endnote w:type="continuationSeparator" w:id="0">
    <w:p w:rsidR="00DC136E" w:rsidRDefault="00DC136E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1E" w:rsidRDefault="00D12D1E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6E" w:rsidRDefault="00DC136E" w:rsidP="00344A2F">
      <w:pPr>
        <w:spacing w:after="0" w:line="240" w:lineRule="auto"/>
      </w:pPr>
      <w:r>
        <w:separator/>
      </w:r>
    </w:p>
  </w:footnote>
  <w:footnote w:type="continuationSeparator" w:id="0">
    <w:p w:rsidR="00DC136E" w:rsidRDefault="00DC136E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1E" w:rsidRDefault="00D12D1E" w:rsidP="00BD7727">
    <w:pPr>
      <w:pStyle w:val="Header"/>
      <w:jc w:val="center"/>
    </w:pPr>
  </w:p>
  <w:p w:rsidR="00D12D1E" w:rsidRDefault="00D12D1E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1E" w:rsidRDefault="00D12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329"/>
    <w:multiLevelType w:val="hybridMultilevel"/>
    <w:tmpl w:val="93B61C5C"/>
    <w:lvl w:ilvl="0" w:tplc="CBBED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0FD75C9"/>
    <w:multiLevelType w:val="singleLevel"/>
    <w:tmpl w:val="59D837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4"/>
        <w:szCs w:val="24"/>
      </w:rPr>
    </w:lvl>
  </w:abstractNum>
  <w:abstractNum w:abstractNumId="2">
    <w:nsid w:val="46BE21C0"/>
    <w:multiLevelType w:val="hybridMultilevel"/>
    <w:tmpl w:val="14EE6516"/>
    <w:lvl w:ilvl="0" w:tplc="7DEC448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AD4540"/>
    <w:multiLevelType w:val="singleLevel"/>
    <w:tmpl w:val="CCEAB6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0565AC"/>
    <w:rsid w:val="00063C71"/>
    <w:rsid w:val="00065B69"/>
    <w:rsid w:val="00086046"/>
    <w:rsid w:val="000B408B"/>
    <w:rsid w:val="000C2B4E"/>
    <w:rsid w:val="0014712E"/>
    <w:rsid w:val="00147F4C"/>
    <w:rsid w:val="00155914"/>
    <w:rsid w:val="001841AD"/>
    <w:rsid w:val="00186412"/>
    <w:rsid w:val="001A3998"/>
    <w:rsid w:val="001A3DE6"/>
    <w:rsid w:val="001C3DBF"/>
    <w:rsid w:val="001F7F18"/>
    <w:rsid w:val="00201B4F"/>
    <w:rsid w:val="00240039"/>
    <w:rsid w:val="00242A8E"/>
    <w:rsid w:val="00253011"/>
    <w:rsid w:val="00253896"/>
    <w:rsid w:val="00263EBC"/>
    <w:rsid w:val="00276289"/>
    <w:rsid w:val="00281506"/>
    <w:rsid w:val="002925CF"/>
    <w:rsid w:val="002A17B2"/>
    <w:rsid w:val="002C32C1"/>
    <w:rsid w:val="00344A2F"/>
    <w:rsid w:val="003650DF"/>
    <w:rsid w:val="0037107A"/>
    <w:rsid w:val="00371953"/>
    <w:rsid w:val="00380ACE"/>
    <w:rsid w:val="003A6B3B"/>
    <w:rsid w:val="003B5E92"/>
    <w:rsid w:val="003C5E52"/>
    <w:rsid w:val="003D42CC"/>
    <w:rsid w:val="00417974"/>
    <w:rsid w:val="00422767"/>
    <w:rsid w:val="004310D6"/>
    <w:rsid w:val="00450460"/>
    <w:rsid w:val="00460619"/>
    <w:rsid w:val="0046236C"/>
    <w:rsid w:val="00492363"/>
    <w:rsid w:val="00496079"/>
    <w:rsid w:val="004C343E"/>
    <w:rsid w:val="004D04FE"/>
    <w:rsid w:val="004D2676"/>
    <w:rsid w:val="004E18B1"/>
    <w:rsid w:val="00557F34"/>
    <w:rsid w:val="00562B8E"/>
    <w:rsid w:val="005745E4"/>
    <w:rsid w:val="005942C0"/>
    <w:rsid w:val="005963AA"/>
    <w:rsid w:val="005A6747"/>
    <w:rsid w:val="005D2BBB"/>
    <w:rsid w:val="005D6CC5"/>
    <w:rsid w:val="00603A66"/>
    <w:rsid w:val="00616268"/>
    <w:rsid w:val="00621F27"/>
    <w:rsid w:val="00642901"/>
    <w:rsid w:val="0065764B"/>
    <w:rsid w:val="00682109"/>
    <w:rsid w:val="006A29D4"/>
    <w:rsid w:val="006C52B5"/>
    <w:rsid w:val="006D52DD"/>
    <w:rsid w:val="00704414"/>
    <w:rsid w:val="00704784"/>
    <w:rsid w:val="00720A31"/>
    <w:rsid w:val="00722ADD"/>
    <w:rsid w:val="007367E8"/>
    <w:rsid w:val="00737AC0"/>
    <w:rsid w:val="0074373A"/>
    <w:rsid w:val="0075374F"/>
    <w:rsid w:val="00761A80"/>
    <w:rsid w:val="00771C4B"/>
    <w:rsid w:val="00772212"/>
    <w:rsid w:val="00781950"/>
    <w:rsid w:val="007A43B1"/>
    <w:rsid w:val="007B0EE5"/>
    <w:rsid w:val="00805E89"/>
    <w:rsid w:val="0083330D"/>
    <w:rsid w:val="00842213"/>
    <w:rsid w:val="00846F82"/>
    <w:rsid w:val="00854684"/>
    <w:rsid w:val="008756BF"/>
    <w:rsid w:val="00875E29"/>
    <w:rsid w:val="00895011"/>
    <w:rsid w:val="008A7272"/>
    <w:rsid w:val="008C18A3"/>
    <w:rsid w:val="008D2399"/>
    <w:rsid w:val="008D486C"/>
    <w:rsid w:val="008F4F42"/>
    <w:rsid w:val="00923711"/>
    <w:rsid w:val="0094122A"/>
    <w:rsid w:val="00964F28"/>
    <w:rsid w:val="009A12A5"/>
    <w:rsid w:val="009A3CC2"/>
    <w:rsid w:val="009B2729"/>
    <w:rsid w:val="009D0389"/>
    <w:rsid w:val="00A50983"/>
    <w:rsid w:val="00A66C6D"/>
    <w:rsid w:val="00A810C4"/>
    <w:rsid w:val="00A81B33"/>
    <w:rsid w:val="00A87256"/>
    <w:rsid w:val="00AA0406"/>
    <w:rsid w:val="00AB1C0D"/>
    <w:rsid w:val="00AC324F"/>
    <w:rsid w:val="00AE223C"/>
    <w:rsid w:val="00AE416A"/>
    <w:rsid w:val="00AE7EE3"/>
    <w:rsid w:val="00AF5917"/>
    <w:rsid w:val="00B25638"/>
    <w:rsid w:val="00B342DF"/>
    <w:rsid w:val="00B41C44"/>
    <w:rsid w:val="00B615BF"/>
    <w:rsid w:val="00BD2962"/>
    <w:rsid w:val="00BD2C20"/>
    <w:rsid w:val="00BD4699"/>
    <w:rsid w:val="00BD7727"/>
    <w:rsid w:val="00C03030"/>
    <w:rsid w:val="00C05008"/>
    <w:rsid w:val="00C06ED9"/>
    <w:rsid w:val="00C20C6B"/>
    <w:rsid w:val="00C54808"/>
    <w:rsid w:val="00C97B7E"/>
    <w:rsid w:val="00CB2A20"/>
    <w:rsid w:val="00CB3B90"/>
    <w:rsid w:val="00D12D1E"/>
    <w:rsid w:val="00D32393"/>
    <w:rsid w:val="00D80CA4"/>
    <w:rsid w:val="00D87F8A"/>
    <w:rsid w:val="00D97A62"/>
    <w:rsid w:val="00DC136E"/>
    <w:rsid w:val="00DD42F5"/>
    <w:rsid w:val="00DD6088"/>
    <w:rsid w:val="00DE140B"/>
    <w:rsid w:val="00DE3086"/>
    <w:rsid w:val="00DF4F32"/>
    <w:rsid w:val="00E04CAE"/>
    <w:rsid w:val="00E15250"/>
    <w:rsid w:val="00E34954"/>
    <w:rsid w:val="00E37B32"/>
    <w:rsid w:val="00E62276"/>
    <w:rsid w:val="00E921A0"/>
    <w:rsid w:val="00EB03D8"/>
    <w:rsid w:val="00EE032B"/>
    <w:rsid w:val="00EF650C"/>
    <w:rsid w:val="00F02815"/>
    <w:rsid w:val="00F0588F"/>
    <w:rsid w:val="00F15E19"/>
    <w:rsid w:val="00F226A8"/>
    <w:rsid w:val="00F34F39"/>
    <w:rsid w:val="00F354E8"/>
    <w:rsid w:val="00F3699C"/>
    <w:rsid w:val="00F40CE8"/>
    <w:rsid w:val="00F6799C"/>
    <w:rsid w:val="00F833B3"/>
    <w:rsid w:val="00FB3AD4"/>
    <w:rsid w:val="00FC1C28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paragraph" w:styleId="Heading5">
    <w:name w:val="heading 5"/>
    <w:basedOn w:val="Normal"/>
    <w:next w:val="Normal"/>
    <w:link w:val="Heading5Char"/>
    <w:qFormat/>
    <w:rsid w:val="00263E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rsid w:val="00263EBC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63EBC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263EBC"/>
    <w:rPr>
      <w:rFonts w:ascii="Arial" w:eastAsia="Times New Roman" w:hAnsi="Arial" w:cs="Arial"/>
      <w:lang w:val="en-US" w:eastAsia="bg-BG"/>
    </w:rPr>
  </w:style>
  <w:style w:type="paragraph" w:styleId="BodyText">
    <w:name w:val="Body Text"/>
    <w:basedOn w:val="Normal"/>
    <w:link w:val="BodyTextChar"/>
    <w:rsid w:val="00263EBC"/>
    <w:pPr>
      <w:spacing w:after="0" w:line="240" w:lineRule="auto"/>
    </w:pPr>
    <w:rPr>
      <w:rFonts w:ascii="TmsCyr" w:eastAsia="Times New Roman" w:hAnsi="TmsCyr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3EBC"/>
    <w:rPr>
      <w:rFonts w:ascii="TmsCyr" w:eastAsia="Times New Roman" w:hAnsi="TmsCyr" w:cs="Times New Roman"/>
      <w:sz w:val="24"/>
      <w:szCs w:val="20"/>
      <w:lang w:val="en-GB"/>
    </w:rPr>
  </w:style>
  <w:style w:type="character" w:customStyle="1" w:styleId="historyitem">
    <w:name w:val="historyitem"/>
    <w:basedOn w:val="DefaultParagraphFont"/>
    <w:rsid w:val="00263EBC"/>
  </w:style>
  <w:style w:type="character" w:customStyle="1" w:styleId="historyreference">
    <w:name w:val="historyreference"/>
    <w:basedOn w:val="DefaultParagraphFont"/>
    <w:rsid w:val="00263EBC"/>
  </w:style>
  <w:style w:type="paragraph" w:styleId="ListParagraph">
    <w:name w:val="List Paragraph"/>
    <w:basedOn w:val="Normal"/>
    <w:uiPriority w:val="34"/>
    <w:qFormat/>
    <w:rsid w:val="00704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F32"/>
    <w:rPr>
      <w:rFonts w:eastAsiaTheme="minorEastAs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F32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32"/>
    <w:rPr>
      <w:rFonts w:eastAsiaTheme="minorEastAs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paragraph" w:styleId="Heading5">
    <w:name w:val="heading 5"/>
    <w:basedOn w:val="Normal"/>
    <w:next w:val="Normal"/>
    <w:link w:val="Heading5Char"/>
    <w:qFormat/>
    <w:rsid w:val="00263E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rsid w:val="00263EBC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63EBC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263EBC"/>
    <w:rPr>
      <w:rFonts w:ascii="Arial" w:eastAsia="Times New Roman" w:hAnsi="Arial" w:cs="Arial"/>
      <w:lang w:val="en-US" w:eastAsia="bg-BG"/>
    </w:rPr>
  </w:style>
  <w:style w:type="paragraph" w:styleId="BodyText">
    <w:name w:val="Body Text"/>
    <w:basedOn w:val="Normal"/>
    <w:link w:val="BodyTextChar"/>
    <w:rsid w:val="00263EBC"/>
    <w:pPr>
      <w:spacing w:after="0" w:line="240" w:lineRule="auto"/>
    </w:pPr>
    <w:rPr>
      <w:rFonts w:ascii="TmsCyr" w:eastAsia="Times New Roman" w:hAnsi="TmsCyr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3EBC"/>
    <w:rPr>
      <w:rFonts w:ascii="TmsCyr" w:eastAsia="Times New Roman" w:hAnsi="TmsCyr" w:cs="Times New Roman"/>
      <w:sz w:val="24"/>
      <w:szCs w:val="20"/>
      <w:lang w:val="en-GB"/>
    </w:rPr>
  </w:style>
  <w:style w:type="character" w:customStyle="1" w:styleId="historyitem">
    <w:name w:val="historyitem"/>
    <w:basedOn w:val="DefaultParagraphFont"/>
    <w:rsid w:val="00263EBC"/>
  </w:style>
  <w:style w:type="character" w:customStyle="1" w:styleId="historyreference">
    <w:name w:val="historyreference"/>
    <w:basedOn w:val="DefaultParagraphFont"/>
    <w:rsid w:val="00263EBC"/>
  </w:style>
  <w:style w:type="paragraph" w:styleId="ListParagraph">
    <w:name w:val="List Paragraph"/>
    <w:basedOn w:val="Normal"/>
    <w:uiPriority w:val="34"/>
    <w:qFormat/>
    <w:rsid w:val="00704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F32"/>
    <w:rPr>
      <w:rFonts w:eastAsiaTheme="minorEastAs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F32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32"/>
    <w:rPr>
      <w:rFonts w:eastAsiaTheme="minorEastAs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21F4-D46B-4D95-8FB3-D2F3FF2F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DBaleva</cp:lastModifiedBy>
  <cp:revision>3</cp:revision>
  <cp:lastPrinted>2016-11-17T11:39:00Z</cp:lastPrinted>
  <dcterms:created xsi:type="dcterms:W3CDTF">2016-11-17T08:16:00Z</dcterms:created>
  <dcterms:modified xsi:type="dcterms:W3CDTF">2016-11-17T11:40:00Z</dcterms:modified>
</cp:coreProperties>
</file>