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294F2" w14:textId="77777777" w:rsidR="00036581" w:rsidRPr="008675D0" w:rsidRDefault="00036581" w:rsidP="00036581">
      <w:pPr>
        <w:pStyle w:val="BodyText3"/>
        <w:spacing w:after="0"/>
        <w:rPr>
          <w:rFonts w:ascii="Times New Roman" w:hAnsi="Times New Roman"/>
          <w:b/>
          <w:spacing w:val="50"/>
          <w:sz w:val="28"/>
          <w:szCs w:val="28"/>
          <w:lang w:val="bg-BG"/>
        </w:rPr>
      </w:pPr>
    </w:p>
    <w:p w14:paraId="5FA8D16B" w14:textId="77777777" w:rsidR="006E12B0" w:rsidRPr="008675D0" w:rsidRDefault="006E12B0" w:rsidP="006E12B0">
      <w:pPr>
        <w:pStyle w:val="BodyText3"/>
        <w:spacing w:after="0"/>
        <w:jc w:val="center"/>
        <w:rPr>
          <w:rFonts w:ascii="Times New Roman" w:hAnsi="Times New Roman"/>
          <w:spacing w:val="50"/>
          <w:sz w:val="28"/>
          <w:szCs w:val="28"/>
          <w:lang w:val="bg-BG"/>
        </w:rPr>
      </w:pPr>
      <w:r w:rsidRPr="008675D0">
        <w:rPr>
          <w:rFonts w:ascii="Times New Roman" w:hAnsi="Times New Roman"/>
          <w:spacing w:val="50"/>
          <w:sz w:val="28"/>
          <w:szCs w:val="28"/>
          <w:lang w:val="bg-BG"/>
        </w:rPr>
        <w:t>МИНИСТЕРСТВО НА ОКОЛНАТА СРЕДА И ВОДИТЕ</w:t>
      </w:r>
    </w:p>
    <w:p w14:paraId="6A76D6FA" w14:textId="77777777" w:rsidR="006E12B0" w:rsidRPr="008675D0" w:rsidRDefault="00FC2F59" w:rsidP="006E12B0">
      <w:pPr>
        <w:pStyle w:val="BodyText3"/>
        <w:pBdr>
          <w:bottom w:val="single" w:sz="8" w:space="2" w:color="auto"/>
        </w:pBdr>
        <w:jc w:val="center"/>
        <w:rPr>
          <w:rFonts w:ascii="Times New Roman" w:hAnsi="Times New Roman"/>
          <w:spacing w:val="50"/>
          <w:sz w:val="28"/>
          <w:szCs w:val="28"/>
          <w:lang w:val="bg-BG"/>
        </w:rPr>
      </w:pPr>
      <w:r w:rsidRPr="008675D0">
        <w:rPr>
          <w:rFonts w:ascii="Times New Roman" w:hAnsi="Times New Roman"/>
          <w:spacing w:val="50"/>
          <w:sz w:val="28"/>
          <w:szCs w:val="28"/>
          <w:lang w:val="bg-BG"/>
        </w:rPr>
        <w:t>МИНИСТЕРСТВО НА ЗДРАВЕОПАЗВАНЕТО</w:t>
      </w:r>
    </w:p>
    <w:p w14:paraId="6C221E3E" w14:textId="77777777" w:rsidR="006E12B0" w:rsidRPr="008675D0" w:rsidRDefault="00036581" w:rsidP="00CA6C11">
      <w:pPr>
        <w:jc w:val="right"/>
        <w:rPr>
          <w:b/>
        </w:rPr>
      </w:pPr>
      <w:r w:rsidRPr="008675D0">
        <w:rPr>
          <w:b/>
        </w:rPr>
        <w:t>Проект!</w:t>
      </w:r>
    </w:p>
    <w:p w14:paraId="73EF202A" w14:textId="77777777" w:rsidR="00A15A6C" w:rsidRPr="008675D0" w:rsidRDefault="00A15A6C" w:rsidP="00036581">
      <w:pPr>
        <w:rPr>
          <w:b/>
        </w:rPr>
      </w:pPr>
    </w:p>
    <w:p w14:paraId="3D9D76E5" w14:textId="12EBE8A8" w:rsidR="00F70D94" w:rsidRPr="00E52784" w:rsidRDefault="005E2D27" w:rsidP="00EB767B">
      <w:pPr>
        <w:jc w:val="center"/>
        <w:rPr>
          <w:b/>
        </w:rPr>
      </w:pPr>
      <w:r w:rsidRPr="008675D0">
        <w:rPr>
          <w:b/>
        </w:rPr>
        <w:t>Наредба за измен</w:t>
      </w:r>
      <w:r w:rsidR="00AE6960">
        <w:rPr>
          <w:b/>
        </w:rPr>
        <w:t>ение и допълнение на Наредба № 12</w:t>
      </w:r>
      <w:r w:rsidR="00670FDE">
        <w:rPr>
          <w:b/>
        </w:rPr>
        <w:t xml:space="preserve"> от 15 юли 2010 г. за норми за серен диоксид, азотен диоксид, фини прахови частици, олово, бензен, въглероден оксид и озон в атмосферния въздух</w:t>
      </w:r>
      <w:r w:rsidR="00150ED6" w:rsidRPr="00B70552">
        <w:rPr>
          <w:b/>
          <w:lang w:val="ru-RU"/>
        </w:rPr>
        <w:t xml:space="preserve"> </w:t>
      </w:r>
      <w:r w:rsidR="00F70D94" w:rsidRPr="00E52784">
        <w:rPr>
          <w:b/>
        </w:rPr>
        <w:t>(</w:t>
      </w:r>
      <w:proofErr w:type="spellStart"/>
      <w:r w:rsidR="00F70D94" w:rsidRPr="008675D0">
        <w:rPr>
          <w:b/>
        </w:rPr>
        <w:t>обн</w:t>
      </w:r>
      <w:proofErr w:type="spellEnd"/>
      <w:r w:rsidR="00F70D94" w:rsidRPr="008675D0">
        <w:rPr>
          <w:b/>
        </w:rPr>
        <w:t xml:space="preserve">., ДВ, бр. </w:t>
      </w:r>
      <w:r w:rsidR="003C57A8">
        <w:rPr>
          <w:b/>
        </w:rPr>
        <w:t>58</w:t>
      </w:r>
      <w:r w:rsidR="00F70D94" w:rsidRPr="008675D0">
        <w:rPr>
          <w:b/>
        </w:rPr>
        <w:t xml:space="preserve"> от </w:t>
      </w:r>
      <w:r w:rsidR="003C57A8">
        <w:rPr>
          <w:b/>
        </w:rPr>
        <w:t>30.07.2010</w:t>
      </w:r>
      <w:r w:rsidR="00F70D94" w:rsidRPr="008675D0">
        <w:rPr>
          <w:b/>
        </w:rPr>
        <w:t xml:space="preserve"> г., в сила от </w:t>
      </w:r>
      <w:r w:rsidR="003C57A8">
        <w:rPr>
          <w:b/>
        </w:rPr>
        <w:t>30.07.2010 г</w:t>
      </w:r>
      <w:r w:rsidR="00F70D94" w:rsidRPr="008675D0">
        <w:rPr>
          <w:b/>
        </w:rPr>
        <w:t>.</w:t>
      </w:r>
      <w:r w:rsidR="00F70D94" w:rsidRPr="00E52784">
        <w:rPr>
          <w:b/>
        </w:rPr>
        <w:t>)</w:t>
      </w:r>
    </w:p>
    <w:p w14:paraId="5CE6F612" w14:textId="77777777" w:rsidR="006E12B0" w:rsidRPr="001D6A90" w:rsidRDefault="006E12B0" w:rsidP="006E12B0">
      <w:pPr>
        <w:ind w:firstLine="708"/>
        <w:jc w:val="both"/>
      </w:pPr>
    </w:p>
    <w:p w14:paraId="237B0A4D" w14:textId="77777777" w:rsidR="007108AB" w:rsidRPr="001D6A90" w:rsidRDefault="00414328" w:rsidP="00655093">
      <w:pPr>
        <w:ind w:firstLine="426"/>
        <w:jc w:val="both"/>
      </w:pPr>
      <w:r w:rsidRPr="001D6A90">
        <w:rPr>
          <w:b/>
        </w:rPr>
        <w:t xml:space="preserve">§ 1. </w:t>
      </w:r>
      <w:r w:rsidR="00157EA6" w:rsidRPr="001D6A90">
        <w:t xml:space="preserve">В </w:t>
      </w:r>
      <w:r w:rsidR="007108AB" w:rsidRPr="001D6A90">
        <w:t xml:space="preserve">чл. 15, ал. 5 думите </w:t>
      </w:r>
      <w:r w:rsidR="008847F5" w:rsidRPr="001D6A90">
        <w:t>„</w:t>
      </w:r>
      <w:r w:rsidR="008847F5" w:rsidRPr="001D6A90">
        <w:rPr>
          <w:lang w:val="x-none"/>
        </w:rPr>
        <w:t xml:space="preserve">раздели I и </w:t>
      </w:r>
      <w:r w:rsidR="008847F5" w:rsidRPr="001D6A90">
        <w:rPr>
          <w:lang w:val="en-US"/>
        </w:rPr>
        <w:t>II</w:t>
      </w:r>
      <w:r w:rsidR="008847F5" w:rsidRPr="001D6A90">
        <w:t>“</w:t>
      </w:r>
      <w:r w:rsidR="00DB5809" w:rsidRPr="001D6A90">
        <w:t xml:space="preserve"> се заменят с</w:t>
      </w:r>
      <w:r w:rsidR="008847F5" w:rsidRPr="001D6A90">
        <w:t xml:space="preserve"> „</w:t>
      </w:r>
      <w:r w:rsidR="008847F5" w:rsidRPr="00B70552">
        <w:rPr>
          <w:lang w:val="ru-RU"/>
        </w:rPr>
        <w:t xml:space="preserve"> </w:t>
      </w:r>
      <w:r w:rsidR="008847F5" w:rsidRPr="001D6A90">
        <w:t xml:space="preserve">раздели </w:t>
      </w:r>
      <w:r w:rsidR="008847F5" w:rsidRPr="001D6A90">
        <w:rPr>
          <w:lang w:val="x-none"/>
        </w:rPr>
        <w:t>I и</w:t>
      </w:r>
      <w:r w:rsidR="008847F5" w:rsidRPr="001D6A90">
        <w:t xml:space="preserve"> </w:t>
      </w:r>
      <w:r w:rsidR="008847F5" w:rsidRPr="001D6A90">
        <w:rPr>
          <w:lang w:val="en-US"/>
        </w:rPr>
        <w:t>III</w:t>
      </w:r>
      <w:r w:rsidR="008847F5" w:rsidRPr="00B70552">
        <w:rPr>
          <w:lang w:val="ru-RU"/>
        </w:rPr>
        <w:t>”</w:t>
      </w:r>
      <w:r w:rsidR="004C3121" w:rsidRPr="001D6A90">
        <w:t>.</w:t>
      </w:r>
    </w:p>
    <w:p w14:paraId="4246E5D1" w14:textId="77777777" w:rsidR="00087BA5" w:rsidRPr="001D6A90" w:rsidRDefault="00087BA5" w:rsidP="00655093">
      <w:pPr>
        <w:ind w:firstLine="426"/>
        <w:jc w:val="both"/>
        <w:rPr>
          <w:b/>
        </w:rPr>
      </w:pPr>
    </w:p>
    <w:p w14:paraId="34EB6575" w14:textId="77777777" w:rsidR="00EF465A" w:rsidRPr="00EF465A" w:rsidRDefault="00CF03C2" w:rsidP="00787633">
      <w:pPr>
        <w:ind w:firstLine="426"/>
        <w:jc w:val="both"/>
      </w:pPr>
      <w:r w:rsidRPr="001D6A90">
        <w:rPr>
          <w:b/>
        </w:rPr>
        <w:t>§</w:t>
      </w:r>
      <w:r w:rsidR="00C768A1" w:rsidRPr="001D6A90">
        <w:rPr>
          <w:b/>
        </w:rPr>
        <w:t xml:space="preserve"> 2. </w:t>
      </w:r>
      <w:r w:rsidR="00EF465A" w:rsidRPr="00EF465A">
        <w:t>В чл.</w:t>
      </w:r>
      <w:r w:rsidR="00150ED6" w:rsidRPr="00B70552">
        <w:rPr>
          <w:lang w:val="ru-RU"/>
        </w:rPr>
        <w:t xml:space="preserve"> </w:t>
      </w:r>
      <w:r w:rsidR="00EF465A" w:rsidRPr="00EF465A">
        <w:t>17 се правят следните изменения и допълнения:</w:t>
      </w:r>
    </w:p>
    <w:p w14:paraId="45A00DE0" w14:textId="77777777" w:rsidR="00787633" w:rsidRPr="00EF465A" w:rsidRDefault="001E6D07" w:rsidP="00CE3A79">
      <w:pPr>
        <w:numPr>
          <w:ilvl w:val="0"/>
          <w:numId w:val="2"/>
        </w:numPr>
        <w:ind w:left="0" w:firstLine="426"/>
        <w:jc w:val="both"/>
      </w:pPr>
      <w:r w:rsidRPr="00EF465A">
        <w:t xml:space="preserve">В </w:t>
      </w:r>
      <w:r w:rsidRPr="00EF465A">
        <w:rPr>
          <w:bCs/>
        </w:rPr>
        <w:t>ал.</w:t>
      </w:r>
      <w:r w:rsidR="0074030C" w:rsidRPr="00EF465A">
        <w:rPr>
          <w:bCs/>
        </w:rPr>
        <w:t xml:space="preserve"> </w:t>
      </w:r>
      <w:r w:rsidRPr="00EF465A">
        <w:rPr>
          <w:bCs/>
        </w:rPr>
        <w:t>1</w:t>
      </w:r>
      <w:r w:rsidR="00227E81" w:rsidRPr="00EF465A">
        <w:rPr>
          <w:bCs/>
        </w:rPr>
        <w:t xml:space="preserve"> в края се </w:t>
      </w:r>
      <w:r w:rsidR="00455D94">
        <w:rPr>
          <w:bCs/>
        </w:rPr>
        <w:t>постав</w:t>
      </w:r>
      <w:r w:rsidR="00F70635">
        <w:rPr>
          <w:bCs/>
        </w:rPr>
        <w:t>я</w:t>
      </w:r>
      <w:r w:rsidR="00227E81" w:rsidRPr="00EF465A">
        <w:rPr>
          <w:bCs/>
        </w:rPr>
        <w:t xml:space="preserve"> </w:t>
      </w:r>
      <w:r w:rsidR="00787633" w:rsidRPr="00EF465A">
        <w:rPr>
          <w:bCs/>
        </w:rPr>
        <w:t>запетая и</w:t>
      </w:r>
      <w:r w:rsidR="00455D94">
        <w:rPr>
          <w:bCs/>
        </w:rPr>
        <w:t xml:space="preserve"> се добавя:</w:t>
      </w:r>
      <w:r w:rsidR="00787633" w:rsidRPr="00EF465A">
        <w:rPr>
          <w:bCs/>
        </w:rPr>
        <w:t xml:space="preserve"> „</w:t>
      </w:r>
      <w:r w:rsidR="00787633" w:rsidRPr="00EF465A">
        <w:t xml:space="preserve">а изискванията за стандартизиране на резултатите от измерванията са посочени в раздел </w:t>
      </w:r>
      <w:r w:rsidR="00787633" w:rsidRPr="00EF465A">
        <w:rPr>
          <w:lang w:val="en-US"/>
        </w:rPr>
        <w:t>III</w:t>
      </w:r>
      <w:r w:rsidR="00787633" w:rsidRPr="00EF465A">
        <w:t xml:space="preserve"> на </w:t>
      </w:r>
      <w:r w:rsidR="00787633" w:rsidRPr="00EF465A">
        <w:rPr>
          <w:lang w:val="x-none"/>
        </w:rPr>
        <w:t>приложение № 11</w:t>
      </w:r>
      <w:r w:rsidR="00787633" w:rsidRPr="00EF465A">
        <w:t>.“</w:t>
      </w:r>
    </w:p>
    <w:p w14:paraId="28411215" w14:textId="77777777" w:rsidR="00EF465A" w:rsidRPr="00C84089" w:rsidRDefault="003A39F2" w:rsidP="00CE3A79">
      <w:pPr>
        <w:numPr>
          <w:ilvl w:val="0"/>
          <w:numId w:val="2"/>
        </w:numPr>
        <w:ind w:left="0" w:firstLine="426"/>
        <w:jc w:val="both"/>
      </w:pPr>
      <w:r>
        <w:t xml:space="preserve">В ал. 2 </w:t>
      </w:r>
      <w:r w:rsidR="009C1842">
        <w:t>думите „съгласно Ръководството на Европейската агенция по околна среда за демонстриране на еквивалентност на методите за мониторинг на атмосферния въздух“ се заменят с „</w:t>
      </w:r>
      <w:r w:rsidR="0095662D" w:rsidRPr="0095662D">
        <w:t xml:space="preserve"> при спазване на изискванията</w:t>
      </w:r>
      <w:r w:rsidR="0059568C">
        <w:t>,</w:t>
      </w:r>
      <w:r w:rsidR="0095662D" w:rsidRPr="0095662D">
        <w:t xml:space="preserve"> посочени в раздел II </w:t>
      </w:r>
      <w:r w:rsidR="003E6430">
        <w:t xml:space="preserve">на приложение № 11 и на Ръководството </w:t>
      </w:r>
      <w:r w:rsidR="0095662D" w:rsidRPr="0095662D">
        <w:t>за демонстриране на еквивалентност на методите за мониторинг на атмосферния въздух на Европейската комисия.</w:t>
      </w:r>
      <w:r w:rsidR="0095662D">
        <w:t>“</w:t>
      </w:r>
    </w:p>
    <w:p w14:paraId="5181F60F" w14:textId="77777777" w:rsidR="00ED4F4F" w:rsidRDefault="00ED4F4F" w:rsidP="00655093">
      <w:pPr>
        <w:ind w:firstLine="426"/>
        <w:jc w:val="both"/>
        <w:rPr>
          <w:b/>
        </w:rPr>
      </w:pPr>
    </w:p>
    <w:p w14:paraId="52EF179B" w14:textId="5F4ADEC7" w:rsidR="00087BA5" w:rsidRDefault="00ED4F4F" w:rsidP="00655093">
      <w:pPr>
        <w:ind w:firstLine="426"/>
        <w:jc w:val="both"/>
        <w:rPr>
          <w:b/>
        </w:rPr>
      </w:pPr>
      <w:r w:rsidRPr="00BB6744">
        <w:rPr>
          <w:b/>
        </w:rPr>
        <w:t>§ 3.</w:t>
      </w:r>
      <w:r>
        <w:rPr>
          <w:b/>
        </w:rPr>
        <w:t xml:space="preserve"> </w:t>
      </w:r>
      <w:r w:rsidRPr="0073286B">
        <w:t>Създава се член 17а:</w:t>
      </w:r>
    </w:p>
    <w:p w14:paraId="56516A8F" w14:textId="6F935E8C" w:rsidR="00ED4F4F" w:rsidRDefault="00ED4F4F" w:rsidP="00655093">
      <w:pPr>
        <w:ind w:firstLine="426"/>
        <w:jc w:val="both"/>
      </w:pPr>
      <w:r w:rsidRPr="002E6F14">
        <w:t>„</w:t>
      </w:r>
      <w:r w:rsidRPr="00C76304">
        <w:t>чл.17а</w:t>
      </w:r>
      <w:r w:rsidRPr="00C76304">
        <w:rPr>
          <w:b/>
        </w:rPr>
        <w:t xml:space="preserve"> </w:t>
      </w:r>
      <w:r w:rsidRPr="00C76304">
        <w:t>Министърът на околната среда и водите определя със заповед националните референтни лаборатории към ИАОС, отговорни за осигуряване на качеството на измерванията</w:t>
      </w:r>
      <w:r w:rsidR="003613CC" w:rsidRPr="00C76304">
        <w:t xml:space="preserve"> за замърсителите в обхвата на наредбата</w:t>
      </w:r>
      <w:r w:rsidRPr="00C76304">
        <w:t xml:space="preserve">, съгласно изискванията на раздел </w:t>
      </w:r>
      <w:r w:rsidRPr="00C76304">
        <w:rPr>
          <w:lang w:val="en-US"/>
        </w:rPr>
        <w:t>III</w:t>
      </w:r>
      <w:r w:rsidRPr="00C76304">
        <w:rPr>
          <w:lang w:val="ru-RU"/>
        </w:rPr>
        <w:t xml:space="preserve"> </w:t>
      </w:r>
      <w:r w:rsidRPr="00C76304">
        <w:t>на приложение № 8.“</w:t>
      </w:r>
    </w:p>
    <w:p w14:paraId="2070FFEF" w14:textId="77777777" w:rsidR="00F6668A" w:rsidRDefault="00F6668A" w:rsidP="00E74400">
      <w:pPr>
        <w:ind w:firstLine="426"/>
        <w:jc w:val="both"/>
        <w:rPr>
          <w:b/>
        </w:rPr>
      </w:pPr>
    </w:p>
    <w:p w14:paraId="1BF9A091" w14:textId="4B465176" w:rsidR="00BE2C9F" w:rsidRDefault="00F95C87" w:rsidP="00E74400">
      <w:pPr>
        <w:ind w:firstLine="426"/>
        <w:jc w:val="both"/>
        <w:rPr>
          <w:bCs/>
        </w:rPr>
      </w:pPr>
      <w:r w:rsidRPr="00BB6744">
        <w:rPr>
          <w:b/>
        </w:rPr>
        <w:t xml:space="preserve">§ </w:t>
      </w:r>
      <w:r w:rsidR="00DC3D61">
        <w:rPr>
          <w:b/>
        </w:rPr>
        <w:t>4</w:t>
      </w:r>
      <w:r w:rsidRPr="00BB6744">
        <w:rPr>
          <w:b/>
        </w:rPr>
        <w:t xml:space="preserve">. </w:t>
      </w:r>
      <w:r w:rsidR="00B86235">
        <w:t>В чл.</w:t>
      </w:r>
      <w:r w:rsidR="00150ED6" w:rsidRPr="00B70552">
        <w:rPr>
          <w:lang w:val="ru-RU"/>
        </w:rPr>
        <w:t xml:space="preserve"> </w:t>
      </w:r>
      <w:r w:rsidR="00B86235">
        <w:t>2</w:t>
      </w:r>
      <w:r w:rsidR="00B86235" w:rsidRPr="00EF465A">
        <w:t>7</w:t>
      </w:r>
      <w:r w:rsidR="00587BB3">
        <w:t>,</w:t>
      </w:r>
      <w:r w:rsidR="00B86235" w:rsidRPr="00EF465A">
        <w:t xml:space="preserve"> </w:t>
      </w:r>
      <w:r w:rsidRPr="00BB6744">
        <w:rPr>
          <w:bCs/>
        </w:rPr>
        <w:t>ал.</w:t>
      </w:r>
      <w:r w:rsidR="0074030C" w:rsidRPr="00BB6744">
        <w:rPr>
          <w:bCs/>
        </w:rPr>
        <w:t xml:space="preserve"> </w:t>
      </w:r>
      <w:r w:rsidR="00D67745" w:rsidRPr="00BB6744">
        <w:rPr>
          <w:bCs/>
        </w:rPr>
        <w:t>2</w:t>
      </w:r>
      <w:r w:rsidR="00571195" w:rsidRPr="00BB6744">
        <w:rPr>
          <w:bCs/>
        </w:rPr>
        <w:t xml:space="preserve"> </w:t>
      </w:r>
      <w:r w:rsidR="00A965BA" w:rsidRPr="00BB6744">
        <w:rPr>
          <w:bCs/>
        </w:rPr>
        <w:t>думите „съгласно Ръководството на Европейската агенция по околна среда за демонстриране на еквивалентност на методите за мониторинг на атм</w:t>
      </w:r>
      <w:r w:rsidR="00B86235">
        <w:rPr>
          <w:bCs/>
        </w:rPr>
        <w:t>осферния въздух“ се заменят с „</w:t>
      </w:r>
      <w:r w:rsidR="00A965BA" w:rsidRPr="00BB6744">
        <w:rPr>
          <w:bCs/>
        </w:rPr>
        <w:t>при спазване на изискванията</w:t>
      </w:r>
      <w:r w:rsidR="0059568C">
        <w:rPr>
          <w:bCs/>
        </w:rPr>
        <w:t>,</w:t>
      </w:r>
      <w:r w:rsidR="00A965BA" w:rsidRPr="00BB6744">
        <w:rPr>
          <w:bCs/>
        </w:rPr>
        <w:t xml:space="preserve"> посочени в раздел II на приложение № 11 и на Ръководството за демонстриране на еквивалентност на методите за мониторинг на атмосферния въздух на Европейската комисия.“</w:t>
      </w:r>
    </w:p>
    <w:p w14:paraId="7FC97C2C" w14:textId="77777777" w:rsidR="00C83DC8" w:rsidRDefault="00C83DC8" w:rsidP="00C10DBE">
      <w:pPr>
        <w:ind w:firstLine="426"/>
        <w:jc w:val="both"/>
      </w:pPr>
    </w:p>
    <w:p w14:paraId="1443607C" w14:textId="6FADA981" w:rsidR="00C10DBE" w:rsidRDefault="00B549C2" w:rsidP="00C10DBE">
      <w:pPr>
        <w:ind w:firstLine="426"/>
        <w:jc w:val="both"/>
      </w:pPr>
      <w:r w:rsidRPr="00103928">
        <w:rPr>
          <w:b/>
        </w:rPr>
        <w:t xml:space="preserve">§ </w:t>
      </w:r>
      <w:r w:rsidR="00784EF7">
        <w:rPr>
          <w:b/>
        </w:rPr>
        <w:t>5</w:t>
      </w:r>
      <w:r w:rsidRPr="00103928">
        <w:rPr>
          <w:b/>
        </w:rPr>
        <w:t>.</w:t>
      </w:r>
      <w:r w:rsidRPr="00103928">
        <w:t xml:space="preserve"> </w:t>
      </w:r>
      <w:r w:rsidR="00103928" w:rsidRPr="00103928">
        <w:t>В чл.</w:t>
      </w:r>
      <w:r w:rsidR="00E40EC7">
        <w:t xml:space="preserve"> </w:t>
      </w:r>
      <w:r w:rsidR="00103928" w:rsidRPr="00103928">
        <w:t>39, ал. 3</w:t>
      </w:r>
      <w:r w:rsidR="004B5764">
        <w:t xml:space="preserve"> </w:t>
      </w:r>
      <w:r w:rsidR="0050553C">
        <w:t xml:space="preserve">в </w:t>
      </w:r>
      <w:r w:rsidR="004B5764">
        <w:t xml:space="preserve">края </w:t>
      </w:r>
      <w:r w:rsidR="00AF42F8">
        <w:t>се добавя</w:t>
      </w:r>
      <w:r w:rsidR="004B5764">
        <w:t xml:space="preserve"> „</w:t>
      </w:r>
      <w:r w:rsidR="00C10DBE" w:rsidRPr="00C10DBE">
        <w:t>При изготвянето на тези планове се вземат предвид насоките, определени в Решение 2004/279/ЕО на Комисията от 19 март 2004г. относно насоките за изпълнение на Директива 2002/3/ЕО на Европейския парламент и на Съвета относно озона в атмосферния въздух (</w:t>
      </w:r>
      <w:r w:rsidR="00FB6745">
        <w:t>ОВ, L, Специално издание 2007</w:t>
      </w:r>
      <w:r w:rsidR="00FD0C4E">
        <w:t>г., раздел 15.Околна среда, потребители и здравеопазване, TOM 10</w:t>
      </w:r>
      <w:r w:rsidR="00C10DBE" w:rsidRPr="00C10DBE">
        <w:t>)</w:t>
      </w:r>
      <w:r w:rsidR="003F24C9">
        <w:t>.</w:t>
      </w:r>
      <w:r w:rsidR="00244DF4">
        <w:t>“</w:t>
      </w:r>
    </w:p>
    <w:p w14:paraId="77D936E8" w14:textId="77777777" w:rsidR="003F24C9" w:rsidRDefault="003F24C9" w:rsidP="00C10DBE">
      <w:pPr>
        <w:ind w:firstLine="426"/>
        <w:jc w:val="both"/>
      </w:pPr>
    </w:p>
    <w:p w14:paraId="631C5585" w14:textId="744CAE13" w:rsidR="003F24C9" w:rsidRDefault="00CF4336" w:rsidP="00C10DBE">
      <w:pPr>
        <w:ind w:firstLine="426"/>
        <w:jc w:val="both"/>
      </w:pPr>
      <w:r w:rsidRPr="006C16D1">
        <w:rPr>
          <w:b/>
        </w:rPr>
        <w:t xml:space="preserve">§ </w:t>
      </w:r>
      <w:r w:rsidR="00364A5A">
        <w:rPr>
          <w:b/>
        </w:rPr>
        <w:t>6</w:t>
      </w:r>
      <w:r w:rsidRPr="006C16D1">
        <w:rPr>
          <w:b/>
        </w:rPr>
        <w:t xml:space="preserve">. </w:t>
      </w:r>
      <w:r w:rsidR="006C16D1" w:rsidRPr="006C16D1">
        <w:t>В чл.</w:t>
      </w:r>
      <w:r w:rsidR="00E40EC7">
        <w:t xml:space="preserve"> </w:t>
      </w:r>
      <w:r w:rsidR="006C16D1" w:rsidRPr="006C16D1">
        <w:t>49 се създава ал. 3</w:t>
      </w:r>
      <w:r w:rsidR="00E1625F">
        <w:t>:</w:t>
      </w:r>
    </w:p>
    <w:p w14:paraId="5109B73E" w14:textId="77777777" w:rsidR="00042F79" w:rsidRPr="006A0C5E" w:rsidRDefault="00DE6873" w:rsidP="00042F79">
      <w:pPr>
        <w:widowControl w:val="0"/>
        <w:autoSpaceDE w:val="0"/>
        <w:autoSpaceDN w:val="0"/>
        <w:adjustRightInd w:val="0"/>
        <w:ind w:firstLine="480"/>
        <w:jc w:val="both"/>
      </w:pPr>
      <w:r>
        <w:t>„</w:t>
      </w:r>
      <w:r w:rsidR="006A160B">
        <w:t xml:space="preserve">(3) </w:t>
      </w:r>
      <w:r w:rsidR="00651B7D">
        <w:t>Д</w:t>
      </w:r>
      <w:r w:rsidR="00042F79" w:rsidRPr="00042F79">
        <w:t>окладвани</w:t>
      </w:r>
      <w:r w:rsidR="00651B7D">
        <w:t>те</w:t>
      </w:r>
      <w:r w:rsidR="00042F79" w:rsidRPr="00042F79">
        <w:t xml:space="preserve"> данни по ал. 1 се смятат за валидни, с изключение на данните, обозначени </w:t>
      </w:r>
      <w:r w:rsidR="00042F79" w:rsidRPr="006A0C5E">
        <w:t>като предварителни.“</w:t>
      </w:r>
    </w:p>
    <w:p w14:paraId="7CC79CE3" w14:textId="77777777" w:rsidR="006A160B" w:rsidRPr="006A0C5E" w:rsidRDefault="006A160B" w:rsidP="00C10DBE">
      <w:pPr>
        <w:ind w:firstLine="426"/>
        <w:jc w:val="both"/>
      </w:pPr>
    </w:p>
    <w:p w14:paraId="10DAA8BA" w14:textId="7BDD472F" w:rsidR="00992658" w:rsidRPr="006A0C5E" w:rsidRDefault="007675F9" w:rsidP="00D60EE6">
      <w:pPr>
        <w:ind w:firstLine="426"/>
        <w:jc w:val="both"/>
      </w:pPr>
      <w:r w:rsidRPr="006A0C5E">
        <w:rPr>
          <w:b/>
        </w:rPr>
        <w:t xml:space="preserve">§ </w:t>
      </w:r>
      <w:r w:rsidR="001D745A">
        <w:rPr>
          <w:b/>
        </w:rPr>
        <w:t>7</w:t>
      </w:r>
      <w:r w:rsidRPr="006A0C5E">
        <w:rPr>
          <w:b/>
        </w:rPr>
        <w:t>.</w:t>
      </w:r>
      <w:r w:rsidR="00402CA5" w:rsidRPr="006A0C5E">
        <w:rPr>
          <w:b/>
        </w:rPr>
        <w:t xml:space="preserve"> </w:t>
      </w:r>
      <w:r w:rsidR="00D60EE6" w:rsidRPr="006A0C5E">
        <w:t>В Допълнителни разпоредби</w:t>
      </w:r>
      <w:r w:rsidR="004359D8" w:rsidRPr="006A0C5E">
        <w:t xml:space="preserve"> се правят следните изменения и допълнения:</w:t>
      </w:r>
    </w:p>
    <w:p w14:paraId="2F87AF94" w14:textId="77777777" w:rsidR="00D60EE6" w:rsidRPr="006A0C5E" w:rsidRDefault="00D60EE6" w:rsidP="00423C56">
      <w:pPr>
        <w:numPr>
          <w:ilvl w:val="0"/>
          <w:numId w:val="1"/>
        </w:numPr>
        <w:ind w:left="0" w:firstLine="786"/>
        <w:jc w:val="both"/>
      </w:pPr>
      <w:r w:rsidRPr="006A0C5E">
        <w:t xml:space="preserve">В </w:t>
      </w:r>
      <w:r w:rsidR="00AA4915" w:rsidRPr="00961AFB">
        <w:t>§</w:t>
      </w:r>
      <w:r w:rsidR="00756774" w:rsidRPr="00EF2A87">
        <w:t xml:space="preserve"> </w:t>
      </w:r>
      <w:r w:rsidRPr="006A0C5E">
        <w:t>2 в края се доба</w:t>
      </w:r>
      <w:r w:rsidR="0038298B">
        <w:t>вя</w:t>
      </w:r>
      <w:r w:rsidRPr="006A0C5E">
        <w:t xml:space="preserve"> „</w:t>
      </w:r>
      <w:r w:rsidR="00C87DF1" w:rsidRPr="006A0C5E">
        <w:t xml:space="preserve">и на Директива (ЕС) 2015/1480 на Комисията от 28 август 2015г. за изменение на няколко приложения към Директива 2004/107/ЕО и Директива 2008/50/ЕО на Европейския парламент и на Съвета, в които са определени правила относно референтните методи, </w:t>
      </w:r>
      <w:proofErr w:type="spellStart"/>
      <w:r w:rsidR="00C87DF1" w:rsidRPr="006A0C5E">
        <w:t>валидирането</w:t>
      </w:r>
      <w:proofErr w:type="spellEnd"/>
      <w:r w:rsidR="00C87DF1" w:rsidRPr="006A0C5E">
        <w:t xml:space="preserve"> на данни и местоположението на точките за вземане на проби при оценяване на качеството на атмосферния въздух (</w:t>
      </w:r>
      <w:r w:rsidR="00C87DF1" w:rsidRPr="006A0C5E">
        <w:rPr>
          <w:lang w:val="en-US"/>
        </w:rPr>
        <w:t>OB</w:t>
      </w:r>
      <w:r w:rsidR="00C87DF1" w:rsidRPr="00B70552">
        <w:rPr>
          <w:lang w:val="ru-RU"/>
        </w:rPr>
        <w:t xml:space="preserve">, </w:t>
      </w:r>
      <w:r w:rsidR="00C87DF1" w:rsidRPr="006A0C5E">
        <w:rPr>
          <w:lang w:val="en-US"/>
        </w:rPr>
        <w:t>L</w:t>
      </w:r>
      <w:r w:rsidR="00C87DF1" w:rsidRPr="00B70552">
        <w:rPr>
          <w:lang w:val="ru-RU"/>
        </w:rPr>
        <w:t xml:space="preserve"> 226, </w:t>
      </w:r>
      <w:r w:rsidR="00C87DF1" w:rsidRPr="006A0C5E">
        <w:t>29.08.2015г.).“</w:t>
      </w:r>
    </w:p>
    <w:p w14:paraId="0367899A" w14:textId="3CBF049D" w:rsidR="002B4B11" w:rsidRPr="006A0C5E" w:rsidRDefault="00A30D3B" w:rsidP="00F27E53">
      <w:pPr>
        <w:numPr>
          <w:ilvl w:val="0"/>
          <w:numId w:val="1"/>
        </w:numPr>
        <w:jc w:val="both"/>
      </w:pPr>
      <w:r w:rsidRPr="006A0C5E">
        <w:t>С</w:t>
      </w:r>
      <w:r w:rsidR="0060101B" w:rsidRPr="006A0C5E">
        <w:t>ъздава</w:t>
      </w:r>
      <w:r w:rsidR="007701A3" w:rsidRPr="006A0C5E">
        <w:t xml:space="preserve"> </w:t>
      </w:r>
      <w:r w:rsidRPr="006A0C5E">
        <w:t xml:space="preserve">се </w:t>
      </w:r>
      <w:r w:rsidR="00551FC4" w:rsidRPr="00961AFB">
        <w:t>§</w:t>
      </w:r>
      <w:r w:rsidR="00184F9B" w:rsidRPr="006A0C5E">
        <w:t xml:space="preserve"> </w:t>
      </w:r>
      <w:r w:rsidR="00F46623">
        <w:t>2а</w:t>
      </w:r>
      <w:r w:rsidR="00C376D9" w:rsidRPr="006A0C5E">
        <w:t>:</w:t>
      </w:r>
    </w:p>
    <w:p w14:paraId="36167B57" w14:textId="65054849" w:rsidR="00041F2E" w:rsidRPr="00B70552" w:rsidRDefault="004E6683" w:rsidP="002B5B80">
      <w:pPr>
        <w:ind w:firstLine="426"/>
        <w:jc w:val="both"/>
        <w:rPr>
          <w:bCs/>
          <w:lang w:val="ru-RU"/>
        </w:rPr>
      </w:pPr>
      <w:r w:rsidRPr="006A0C5E">
        <w:t>„</w:t>
      </w:r>
      <w:r w:rsidR="00EB1820" w:rsidRPr="006A0C5E">
        <w:rPr>
          <w:bCs/>
        </w:rPr>
        <w:t xml:space="preserve">§ </w:t>
      </w:r>
      <w:r w:rsidR="00F46623">
        <w:rPr>
          <w:bCs/>
        </w:rPr>
        <w:t>2а</w:t>
      </w:r>
      <w:r w:rsidR="00FB629D" w:rsidRPr="006A0C5E">
        <w:rPr>
          <w:bCs/>
        </w:rPr>
        <w:t>.</w:t>
      </w:r>
      <w:r w:rsidR="00EB1820" w:rsidRPr="006A0C5E">
        <w:rPr>
          <w:bCs/>
        </w:rPr>
        <w:t xml:space="preserve"> </w:t>
      </w:r>
      <w:r w:rsidR="00FB629D" w:rsidRPr="006A0C5E">
        <w:rPr>
          <w:bCs/>
        </w:rPr>
        <w:t xml:space="preserve">Изискванията за акредитиране на органи за оценяване на съответствието, определени в тази наредба, се прилагат при спазване на разпоредбите на Регламент (ЕО) № 765/2008 на Европейския парламент и на Съвета от 9 юли 2008 г. за определяне на изискванията за </w:t>
      </w:r>
      <w:r w:rsidR="00FB629D" w:rsidRPr="006A0C5E">
        <w:rPr>
          <w:bCs/>
        </w:rPr>
        <w:lastRenderedPageBreak/>
        <w:t xml:space="preserve">акредитация и надзор на пазара във връзка с предлагането на пазара на продукти и за отмяна на </w:t>
      </w:r>
      <w:r w:rsidR="00FB629D" w:rsidRPr="00423C56">
        <w:rPr>
          <w:bCs/>
        </w:rPr>
        <w:t xml:space="preserve">Регламент (ЕИО) № 339/93 </w:t>
      </w:r>
      <w:r w:rsidR="00D76993">
        <w:rPr>
          <w:bCs/>
        </w:rPr>
        <w:t>(ОВ, L 218/30 от 13 август 2008</w:t>
      </w:r>
      <w:r w:rsidR="00FB629D" w:rsidRPr="00423C56">
        <w:rPr>
          <w:bCs/>
        </w:rPr>
        <w:t>г.) и на Закона за националната акредитация на органи за оценяване на съответствие</w:t>
      </w:r>
      <w:r w:rsidR="009C3A2E">
        <w:rPr>
          <w:bCs/>
        </w:rPr>
        <w:t>то</w:t>
      </w:r>
      <w:r w:rsidR="00FB629D" w:rsidRPr="00423C56">
        <w:rPr>
          <w:bCs/>
        </w:rPr>
        <w:t>.“</w:t>
      </w:r>
      <w:r w:rsidR="0025198C" w:rsidRPr="00B70552">
        <w:rPr>
          <w:bCs/>
          <w:lang w:val="ru-RU"/>
        </w:rPr>
        <w:t>.</w:t>
      </w:r>
    </w:p>
    <w:p w14:paraId="6F1B4025" w14:textId="77777777" w:rsidR="0025198C" w:rsidRPr="0025198C" w:rsidRDefault="0025198C" w:rsidP="002B5B80">
      <w:pPr>
        <w:ind w:firstLine="426"/>
        <w:jc w:val="both"/>
        <w:rPr>
          <w:bCs/>
        </w:rPr>
      </w:pPr>
    </w:p>
    <w:p w14:paraId="17867A65" w14:textId="33C732D3" w:rsidR="00FB629D" w:rsidRPr="00423C56" w:rsidRDefault="002E21F4" w:rsidP="002B5B80">
      <w:pPr>
        <w:ind w:firstLine="426"/>
        <w:jc w:val="both"/>
      </w:pPr>
      <w:r w:rsidRPr="00423C56">
        <w:rPr>
          <w:b/>
        </w:rPr>
        <w:t xml:space="preserve">§ </w:t>
      </w:r>
      <w:r w:rsidR="00025B62">
        <w:rPr>
          <w:b/>
        </w:rPr>
        <w:t>8</w:t>
      </w:r>
      <w:r w:rsidRPr="00423C56">
        <w:rPr>
          <w:b/>
        </w:rPr>
        <w:t xml:space="preserve">. </w:t>
      </w:r>
      <w:r w:rsidR="00AB479D" w:rsidRPr="00423C56">
        <w:t>В П</w:t>
      </w:r>
      <w:r w:rsidR="006163E2" w:rsidRPr="00423C56">
        <w:t>риложение № 6 към чл.</w:t>
      </w:r>
      <w:r w:rsidR="000B7770" w:rsidRPr="00B70552">
        <w:rPr>
          <w:lang w:val="ru-RU"/>
        </w:rPr>
        <w:t xml:space="preserve"> </w:t>
      </w:r>
      <w:r w:rsidR="006163E2" w:rsidRPr="00423C56">
        <w:t>11, раздел III и раздел IV се изменят така:</w:t>
      </w:r>
    </w:p>
    <w:p w14:paraId="1D123A9A" w14:textId="77777777" w:rsidR="00E14DB1" w:rsidRPr="00423C56" w:rsidRDefault="00C8461F" w:rsidP="00D24C0D">
      <w:pPr>
        <w:widowControl w:val="0"/>
        <w:autoSpaceDE w:val="0"/>
        <w:autoSpaceDN w:val="0"/>
        <w:adjustRightInd w:val="0"/>
        <w:jc w:val="both"/>
        <w:rPr>
          <w:b/>
          <w:bCs/>
        </w:rPr>
      </w:pPr>
      <w:r w:rsidRPr="00D24C0D">
        <w:t>„</w:t>
      </w:r>
      <w:r w:rsidR="00E14DB1" w:rsidRPr="00423C56">
        <w:t xml:space="preserve">III. Условия за разполагане на ПМ (точките за вземане на проби) в </w:t>
      </w:r>
      <w:proofErr w:type="spellStart"/>
      <w:r w:rsidR="00E14DB1" w:rsidRPr="00423C56">
        <w:t>микромащаб</w:t>
      </w:r>
      <w:proofErr w:type="spellEnd"/>
      <w:r w:rsidR="00E14DB1" w:rsidRPr="00423C56">
        <w:rPr>
          <w:b/>
          <w:bCs/>
        </w:rPr>
        <w:t xml:space="preserve"> </w:t>
      </w:r>
    </w:p>
    <w:p w14:paraId="5F5EEB7A" w14:textId="77777777" w:rsidR="00067C14" w:rsidRPr="00423C56" w:rsidRDefault="00E14DB1" w:rsidP="00067C14">
      <w:pPr>
        <w:widowControl w:val="0"/>
        <w:autoSpaceDE w:val="0"/>
        <w:autoSpaceDN w:val="0"/>
        <w:adjustRightInd w:val="0"/>
        <w:ind w:firstLine="426"/>
        <w:jc w:val="both"/>
      </w:pPr>
      <w:r w:rsidRPr="00423C56">
        <w:rPr>
          <w:bCs/>
        </w:rPr>
        <w:t>1</w:t>
      </w:r>
      <w:r w:rsidRPr="00423C56">
        <w:rPr>
          <w:b/>
          <w:bCs/>
        </w:rPr>
        <w:t>.</w:t>
      </w:r>
      <w:r w:rsidRPr="00423C56">
        <w:t xml:space="preserve"> </w:t>
      </w:r>
      <w:r w:rsidR="009C590B">
        <w:t>П</w:t>
      </w:r>
      <w:r w:rsidRPr="00423C56">
        <w:t>ри разполагането на ПМ се прилагат следните изисквания:</w:t>
      </w:r>
    </w:p>
    <w:p w14:paraId="577C96BD" w14:textId="77777777" w:rsidR="00067C14" w:rsidRPr="00423C56" w:rsidRDefault="00E14DB1" w:rsidP="00067C14">
      <w:pPr>
        <w:widowControl w:val="0"/>
        <w:autoSpaceDE w:val="0"/>
        <w:autoSpaceDN w:val="0"/>
        <w:adjustRightInd w:val="0"/>
        <w:ind w:firstLine="426"/>
        <w:jc w:val="both"/>
      </w:pPr>
      <w:r w:rsidRPr="00423C56">
        <w:t xml:space="preserve">1.1. </w:t>
      </w:r>
      <w:r w:rsidRPr="00423C56">
        <w:rPr>
          <w:lang w:eastAsia="fr-FR"/>
        </w:rPr>
        <w:t>потокът около входното отверстие на устройството за вземане на проби да не е ограничен (в общия случай да е свободен</w:t>
      </w:r>
      <w:r w:rsidRPr="00423C56">
        <w:rPr>
          <w:color w:val="000000"/>
          <w:lang w:eastAsia="fr-FR"/>
        </w:rPr>
        <w:t xml:space="preserve"> в сектор от най-малко 270°, или съответно 180° при точки за вземане на проби, намиращи се на линията на разположението на сградите) и без да са налице прегради, възпрепятстващи движението на въздуха в близост до него; входното отверстие на устройството за вземане на проби се разполага на разстояние няколко метра от сгради, балкони, дървета и други прегради и на не по-малко от 0</w:t>
      </w:r>
      <w:r w:rsidR="00F213C2">
        <w:rPr>
          <w:color w:val="000000"/>
          <w:lang w:eastAsia="fr-FR"/>
        </w:rPr>
        <w:t>.</w:t>
      </w:r>
      <w:r w:rsidRPr="00423C56">
        <w:rPr>
          <w:color w:val="000000"/>
          <w:lang w:eastAsia="fr-FR"/>
        </w:rPr>
        <w:t>5 m от най-близката сграда, в случаите на точки за вземане на проби, които са представителни за качеството на въздуха на линията на разположението на сградите);</w:t>
      </w:r>
    </w:p>
    <w:p w14:paraId="61AFAE52" w14:textId="77777777" w:rsidR="00067C14" w:rsidRPr="00423C56" w:rsidRDefault="00EF5D26" w:rsidP="00067C14">
      <w:pPr>
        <w:widowControl w:val="0"/>
        <w:autoSpaceDE w:val="0"/>
        <w:autoSpaceDN w:val="0"/>
        <w:adjustRightInd w:val="0"/>
        <w:ind w:firstLine="426"/>
        <w:jc w:val="both"/>
      </w:pPr>
      <w:r>
        <w:rPr>
          <w:color w:val="000000"/>
          <w:lang w:eastAsia="fr-FR"/>
        </w:rPr>
        <w:t>1.2.</w:t>
      </w:r>
      <w:r w:rsidR="00E14DB1" w:rsidRPr="00423C56">
        <w:rPr>
          <w:color w:val="000000"/>
          <w:lang w:eastAsia="fr-FR"/>
        </w:rPr>
        <w:t xml:space="preserve"> входното отверстие на устройството за вземане на проби следва да бъде разположено на височина между 1</w:t>
      </w:r>
      <w:r w:rsidR="00F213C2">
        <w:rPr>
          <w:color w:val="000000"/>
          <w:lang w:eastAsia="fr-FR"/>
        </w:rPr>
        <w:t>.</w:t>
      </w:r>
      <w:r w:rsidR="00E14DB1" w:rsidRPr="00423C56">
        <w:rPr>
          <w:color w:val="000000"/>
          <w:lang w:eastAsia="fr-FR"/>
        </w:rPr>
        <w:t>5 m (зоната на дишане) и 4 m над земната повърхност; в случай че ПМ е представителен за голям район, може да бъде подходящо и по-високо разполагане, като всички изключения се документират подробно;</w:t>
      </w:r>
    </w:p>
    <w:p w14:paraId="2BBF5B94" w14:textId="77777777" w:rsidR="00067C14" w:rsidRPr="00423C56" w:rsidRDefault="00E14DB1" w:rsidP="00067C14">
      <w:pPr>
        <w:widowControl w:val="0"/>
        <w:autoSpaceDE w:val="0"/>
        <w:autoSpaceDN w:val="0"/>
        <w:adjustRightInd w:val="0"/>
        <w:ind w:firstLine="426"/>
        <w:jc w:val="both"/>
      </w:pPr>
      <w:r w:rsidRPr="00423C56">
        <w:t>1.3. входното отверстие на устройството за вземане на проби да не е разположено в непосредствена близост до източници на емисии, за да се избегне директното попадане на замърсители в него преди дисперсията им в атмосферния въздух;</w:t>
      </w:r>
    </w:p>
    <w:p w14:paraId="672903CC" w14:textId="77777777" w:rsidR="00067C14" w:rsidRPr="00512079" w:rsidRDefault="00E14DB1" w:rsidP="00067C14">
      <w:pPr>
        <w:widowControl w:val="0"/>
        <w:autoSpaceDE w:val="0"/>
        <w:autoSpaceDN w:val="0"/>
        <w:adjustRightInd w:val="0"/>
        <w:ind w:firstLine="426"/>
        <w:jc w:val="both"/>
      </w:pPr>
      <w:r w:rsidRPr="00423C56">
        <w:t xml:space="preserve">1.4. изходното </w:t>
      </w:r>
      <w:r w:rsidRPr="00512079">
        <w:t>отверстие на устройството за вземане на проби се разполага така, че да се избегне повторното преминаване на изходящия въздух през входното отверстие;</w:t>
      </w:r>
    </w:p>
    <w:p w14:paraId="2B838A71" w14:textId="22BD8ECF" w:rsidR="00067C14" w:rsidRPr="00512079" w:rsidRDefault="00E14DB1" w:rsidP="00067C14">
      <w:pPr>
        <w:widowControl w:val="0"/>
        <w:autoSpaceDE w:val="0"/>
        <w:autoSpaceDN w:val="0"/>
        <w:adjustRightInd w:val="0"/>
        <w:ind w:firstLine="426"/>
        <w:jc w:val="both"/>
      </w:pPr>
      <w:r w:rsidRPr="00512079">
        <w:rPr>
          <w:bCs/>
        </w:rPr>
        <w:t xml:space="preserve">1.5. при </w:t>
      </w:r>
      <w:proofErr w:type="spellStart"/>
      <w:r w:rsidRPr="00512079">
        <w:rPr>
          <w:bCs/>
        </w:rPr>
        <w:t>транспортноориентирани</w:t>
      </w:r>
      <w:proofErr w:type="spellEnd"/>
      <w:r w:rsidRPr="00512079">
        <w:rPr>
          <w:bCs/>
        </w:rPr>
        <w:t xml:space="preserve"> ПМ, устройството за вземане на проби от всички замърсители се разполага на не по-малко от 25 m от големи кръстовища и на не повече от </w:t>
      </w:r>
      <w:r w:rsidRPr="00512079">
        <w:rPr>
          <w:color w:val="000000"/>
        </w:rPr>
        <w:t>10 m от бордюра; в случая, като „голямо кръстовище“ следва да се разбира такова, което прекъсва транспортния поток и води до различен вид емисии (при спиране и потегляне) в сравнение с останалата част от пътя;</w:t>
      </w:r>
    </w:p>
    <w:p w14:paraId="7062E904" w14:textId="48764A2F" w:rsidR="00067C14" w:rsidRPr="00512079" w:rsidRDefault="00E14DB1" w:rsidP="00067C14">
      <w:pPr>
        <w:widowControl w:val="0"/>
        <w:autoSpaceDE w:val="0"/>
        <w:autoSpaceDN w:val="0"/>
        <w:adjustRightInd w:val="0"/>
        <w:ind w:firstLine="426"/>
        <w:jc w:val="both"/>
      </w:pPr>
      <w:r w:rsidRPr="00512079">
        <w:rPr>
          <w:color w:val="000000"/>
        </w:rPr>
        <w:t xml:space="preserve">2. </w:t>
      </w:r>
      <w:r w:rsidRPr="00512079">
        <w:t>Всяко отклонение от посочените в т.</w:t>
      </w:r>
      <w:r w:rsidR="00F213C2">
        <w:t xml:space="preserve"> </w:t>
      </w:r>
      <w:r w:rsidR="00324C6C">
        <w:t xml:space="preserve">1 изисквания следва да </w:t>
      </w:r>
      <w:r w:rsidR="004E4053">
        <w:t>се</w:t>
      </w:r>
      <w:r w:rsidRPr="00512079">
        <w:t xml:space="preserve"> документира при спазване на процедурите о</w:t>
      </w:r>
      <w:r w:rsidR="00DF5E4E">
        <w:t>писани в раздел IV</w:t>
      </w:r>
      <w:r w:rsidRPr="00512079">
        <w:t xml:space="preserve"> Документиране и преглед на избора на площадки за мониторинг.</w:t>
      </w:r>
    </w:p>
    <w:p w14:paraId="1D9221BC" w14:textId="77777777" w:rsidR="00E14DB1" w:rsidRPr="00512079" w:rsidRDefault="00E14DB1" w:rsidP="00067C14">
      <w:pPr>
        <w:widowControl w:val="0"/>
        <w:autoSpaceDE w:val="0"/>
        <w:autoSpaceDN w:val="0"/>
        <w:adjustRightInd w:val="0"/>
        <w:ind w:firstLine="426"/>
        <w:jc w:val="both"/>
      </w:pPr>
      <w:r w:rsidRPr="00512079">
        <w:rPr>
          <w:bCs/>
        </w:rPr>
        <w:t>3</w:t>
      </w:r>
      <w:r w:rsidRPr="00512079">
        <w:rPr>
          <w:b/>
          <w:bCs/>
        </w:rPr>
        <w:t>.</w:t>
      </w:r>
      <w:r w:rsidRPr="00512079">
        <w:t xml:space="preserve"> При разполагането на ПМ съгласно т. 1 се отчита и влиянието на следните фактори:</w:t>
      </w:r>
    </w:p>
    <w:p w14:paraId="0A24F6B4" w14:textId="77777777" w:rsidR="00E14DB1" w:rsidRPr="00512079" w:rsidRDefault="00E14DB1" w:rsidP="00E14DB1">
      <w:pPr>
        <w:widowControl w:val="0"/>
        <w:autoSpaceDE w:val="0"/>
        <w:autoSpaceDN w:val="0"/>
        <w:adjustRightInd w:val="0"/>
        <w:ind w:firstLine="480"/>
        <w:jc w:val="both"/>
      </w:pPr>
      <w:r w:rsidRPr="00512079">
        <w:t xml:space="preserve">     - наслагващи се (</w:t>
      </w:r>
      <w:proofErr w:type="spellStart"/>
      <w:r w:rsidRPr="00512079">
        <w:t>интерфериращи</w:t>
      </w:r>
      <w:proofErr w:type="spellEnd"/>
      <w:r w:rsidRPr="00512079">
        <w:t>) източници;</w:t>
      </w:r>
    </w:p>
    <w:p w14:paraId="4718FCDB" w14:textId="77777777" w:rsidR="00E14DB1" w:rsidRPr="00512079" w:rsidRDefault="00E14DB1" w:rsidP="00E14DB1">
      <w:pPr>
        <w:widowControl w:val="0"/>
        <w:autoSpaceDE w:val="0"/>
        <w:autoSpaceDN w:val="0"/>
        <w:adjustRightInd w:val="0"/>
        <w:ind w:firstLine="480"/>
        <w:jc w:val="both"/>
      </w:pPr>
      <w:r w:rsidRPr="00512079">
        <w:t xml:space="preserve">     - сигурност;</w:t>
      </w:r>
    </w:p>
    <w:p w14:paraId="24A93082" w14:textId="77777777" w:rsidR="00E14DB1" w:rsidRPr="00512079" w:rsidRDefault="00E14DB1" w:rsidP="00E14DB1">
      <w:pPr>
        <w:widowControl w:val="0"/>
        <w:autoSpaceDE w:val="0"/>
        <w:autoSpaceDN w:val="0"/>
        <w:adjustRightInd w:val="0"/>
        <w:ind w:firstLine="480"/>
        <w:jc w:val="both"/>
      </w:pPr>
      <w:r w:rsidRPr="00512079">
        <w:t xml:space="preserve">     - достъп;</w:t>
      </w:r>
    </w:p>
    <w:p w14:paraId="09B6A1A1" w14:textId="77777777" w:rsidR="00E14DB1" w:rsidRPr="00512079" w:rsidRDefault="00E14DB1" w:rsidP="00E14DB1">
      <w:pPr>
        <w:widowControl w:val="0"/>
        <w:autoSpaceDE w:val="0"/>
        <w:autoSpaceDN w:val="0"/>
        <w:adjustRightInd w:val="0"/>
        <w:ind w:firstLine="480"/>
        <w:jc w:val="both"/>
      </w:pPr>
      <w:r w:rsidRPr="00512079">
        <w:t xml:space="preserve">     - наличие на електрозахранване и телефонни комуникации;</w:t>
      </w:r>
    </w:p>
    <w:p w14:paraId="3E634C05" w14:textId="77777777" w:rsidR="00E14DB1" w:rsidRPr="00512079" w:rsidRDefault="00E14DB1" w:rsidP="00E14DB1">
      <w:pPr>
        <w:widowControl w:val="0"/>
        <w:autoSpaceDE w:val="0"/>
        <w:autoSpaceDN w:val="0"/>
        <w:adjustRightInd w:val="0"/>
        <w:ind w:firstLine="480"/>
        <w:jc w:val="both"/>
      </w:pPr>
      <w:r w:rsidRPr="00512079">
        <w:t xml:space="preserve">     - видимост на площадката спрямо нейното обкръжение;</w:t>
      </w:r>
    </w:p>
    <w:p w14:paraId="02682DF1" w14:textId="77777777" w:rsidR="00E14DB1" w:rsidRPr="00512079" w:rsidRDefault="00E14DB1" w:rsidP="00E14DB1">
      <w:pPr>
        <w:widowControl w:val="0"/>
        <w:autoSpaceDE w:val="0"/>
        <w:autoSpaceDN w:val="0"/>
        <w:adjustRightInd w:val="0"/>
        <w:ind w:firstLine="480"/>
        <w:jc w:val="both"/>
      </w:pPr>
      <w:r w:rsidRPr="00512079">
        <w:t xml:space="preserve">     - безопасност на населението и обслужващия персонал;</w:t>
      </w:r>
    </w:p>
    <w:p w14:paraId="71B72D05" w14:textId="77777777" w:rsidR="00E14DB1" w:rsidRPr="00512079" w:rsidRDefault="00E14DB1" w:rsidP="00E14DB1">
      <w:pPr>
        <w:widowControl w:val="0"/>
        <w:autoSpaceDE w:val="0"/>
        <w:autoSpaceDN w:val="0"/>
        <w:adjustRightInd w:val="0"/>
        <w:ind w:firstLine="480"/>
        <w:jc w:val="both"/>
      </w:pPr>
      <w:r w:rsidRPr="00512079">
        <w:t xml:space="preserve">     - съвместно разполагане на точките за вземане на проби за определяне</w:t>
      </w:r>
      <w:r w:rsidR="00F213C2">
        <w:t xml:space="preserve"> </w:t>
      </w:r>
      <w:r w:rsidRPr="00512079">
        <w:t>нивата на различни замърсители;</w:t>
      </w:r>
    </w:p>
    <w:p w14:paraId="1B471B0C" w14:textId="77777777" w:rsidR="00E14DB1" w:rsidRPr="00512079" w:rsidRDefault="00E14DB1" w:rsidP="00E14DB1">
      <w:pPr>
        <w:widowControl w:val="0"/>
        <w:autoSpaceDE w:val="0"/>
        <w:autoSpaceDN w:val="0"/>
        <w:adjustRightInd w:val="0"/>
        <w:ind w:firstLine="480"/>
        <w:jc w:val="both"/>
      </w:pPr>
      <w:r w:rsidRPr="00512079">
        <w:t xml:space="preserve">     - изисквания, свързани с териториалното планиране.</w:t>
      </w:r>
    </w:p>
    <w:p w14:paraId="11E55A14" w14:textId="77777777" w:rsidR="00574417" w:rsidRPr="00512079" w:rsidRDefault="00574417" w:rsidP="002B5B80">
      <w:pPr>
        <w:ind w:firstLine="426"/>
        <w:jc w:val="both"/>
        <w:rPr>
          <w:b/>
        </w:rPr>
      </w:pPr>
    </w:p>
    <w:p w14:paraId="26BD6604" w14:textId="77777777" w:rsidR="006774DF" w:rsidRPr="00512079" w:rsidRDefault="006774DF" w:rsidP="000B7770">
      <w:pPr>
        <w:widowControl w:val="0"/>
        <w:autoSpaceDE w:val="0"/>
        <w:autoSpaceDN w:val="0"/>
        <w:adjustRightInd w:val="0"/>
        <w:ind w:firstLine="480"/>
        <w:jc w:val="both"/>
      </w:pPr>
      <w:r w:rsidRPr="00512079">
        <w:t>IV. Документиране и преглед на избора на площадки за мониторинг</w:t>
      </w:r>
    </w:p>
    <w:p w14:paraId="4AFF7C7F" w14:textId="31472F71" w:rsidR="006774DF" w:rsidRPr="006774DF" w:rsidRDefault="006774DF" w:rsidP="000B7770">
      <w:pPr>
        <w:widowControl w:val="0"/>
        <w:autoSpaceDE w:val="0"/>
        <w:autoSpaceDN w:val="0"/>
        <w:adjustRightInd w:val="0"/>
        <w:ind w:firstLine="480"/>
        <w:jc w:val="both"/>
        <w:rPr>
          <w:color w:val="000000"/>
        </w:rPr>
      </w:pPr>
      <w:r w:rsidRPr="006774DF">
        <w:rPr>
          <w:b/>
          <w:bCs/>
        </w:rPr>
        <w:tab/>
      </w:r>
      <w:r w:rsidRPr="00B70552">
        <w:rPr>
          <w:color w:val="000000"/>
          <w:lang w:val="ru-RU"/>
        </w:rPr>
        <w:t xml:space="preserve">  </w:t>
      </w:r>
      <w:r w:rsidR="002455B5">
        <w:rPr>
          <w:color w:val="000000"/>
        </w:rPr>
        <w:t>Изпълнителният директор на ИАОС или опр</w:t>
      </w:r>
      <w:r w:rsidR="00D04757">
        <w:rPr>
          <w:color w:val="000000"/>
        </w:rPr>
        <w:t xml:space="preserve">авомощено от него лице, </w:t>
      </w:r>
      <w:r w:rsidRPr="006774DF">
        <w:rPr>
          <w:color w:val="000000"/>
        </w:rPr>
        <w:t xml:space="preserve">документира за всички зони и агломерации процедурите по избор на площадки, записва и съхранява обяснителна информация относно проекта на мрежата от площадки за мониторинг и избора на местоположението на всяка една от тях. Документацията </w:t>
      </w:r>
      <w:r w:rsidR="004020B9">
        <w:rPr>
          <w:color w:val="000000"/>
        </w:rPr>
        <w:t>съдържа</w:t>
      </w:r>
      <w:r w:rsidR="00A362BC">
        <w:rPr>
          <w:color w:val="000000"/>
        </w:rPr>
        <w:t>:</w:t>
      </w:r>
      <w:r w:rsidRPr="006774DF">
        <w:rPr>
          <w:color w:val="000000"/>
        </w:rPr>
        <w:t xml:space="preserve"> </w:t>
      </w:r>
    </w:p>
    <w:p w14:paraId="4657F432" w14:textId="77777777" w:rsidR="003A1C1D" w:rsidRDefault="006774DF" w:rsidP="00776CD4">
      <w:pPr>
        <w:widowControl w:val="0"/>
        <w:numPr>
          <w:ilvl w:val="0"/>
          <w:numId w:val="3"/>
        </w:numPr>
        <w:autoSpaceDE w:val="0"/>
        <w:autoSpaceDN w:val="0"/>
        <w:adjustRightInd w:val="0"/>
        <w:jc w:val="both"/>
        <w:rPr>
          <w:color w:val="000000"/>
        </w:rPr>
      </w:pPr>
      <w:r w:rsidRPr="006774DF">
        <w:rPr>
          <w:color w:val="000000"/>
        </w:rPr>
        <w:t xml:space="preserve">фотографии на околностите на площадките с </w:t>
      </w:r>
      <w:proofErr w:type="spellStart"/>
      <w:r w:rsidRPr="006774DF">
        <w:rPr>
          <w:color w:val="000000"/>
        </w:rPr>
        <w:t>компасна</w:t>
      </w:r>
      <w:proofErr w:type="spellEnd"/>
      <w:r w:rsidRPr="006774DF">
        <w:rPr>
          <w:color w:val="000000"/>
        </w:rPr>
        <w:t xml:space="preserve"> стрелка и подробни карти; </w:t>
      </w:r>
    </w:p>
    <w:p w14:paraId="373FF6C2" w14:textId="77777777" w:rsidR="006774DF" w:rsidRPr="003A1C1D" w:rsidRDefault="006774DF" w:rsidP="00776CD4">
      <w:pPr>
        <w:widowControl w:val="0"/>
        <w:numPr>
          <w:ilvl w:val="0"/>
          <w:numId w:val="3"/>
        </w:numPr>
        <w:autoSpaceDE w:val="0"/>
        <w:autoSpaceDN w:val="0"/>
        <w:adjustRightInd w:val="0"/>
        <w:jc w:val="both"/>
        <w:rPr>
          <w:color w:val="000000"/>
        </w:rPr>
      </w:pPr>
      <w:r w:rsidRPr="003A1C1D">
        <w:rPr>
          <w:color w:val="000000"/>
        </w:rPr>
        <w:t>в случаите, при които в дадена зона или агломерация се използват други методи за оценка на КАВ, документацията трябва да включва подробни данни за тези методи и информация как са спазени критериите, посочени в чл.</w:t>
      </w:r>
      <w:r w:rsidR="007E7094">
        <w:rPr>
          <w:color w:val="000000"/>
        </w:rPr>
        <w:t xml:space="preserve"> </w:t>
      </w:r>
      <w:r w:rsidRPr="003A1C1D">
        <w:rPr>
          <w:color w:val="000000"/>
        </w:rPr>
        <w:t>13 и чл.</w:t>
      </w:r>
      <w:r w:rsidR="007E7094">
        <w:rPr>
          <w:color w:val="000000"/>
        </w:rPr>
        <w:t xml:space="preserve"> </w:t>
      </w:r>
      <w:r w:rsidRPr="003A1C1D">
        <w:rPr>
          <w:color w:val="000000"/>
        </w:rPr>
        <w:t>14.</w:t>
      </w:r>
    </w:p>
    <w:p w14:paraId="2BEA4D17" w14:textId="4A5942A3" w:rsidR="006774DF" w:rsidRDefault="00B83DFA" w:rsidP="000B7770">
      <w:pPr>
        <w:widowControl w:val="0"/>
        <w:tabs>
          <w:tab w:val="left" w:pos="284"/>
        </w:tabs>
        <w:autoSpaceDE w:val="0"/>
        <w:autoSpaceDN w:val="0"/>
        <w:adjustRightInd w:val="0"/>
        <w:jc w:val="both"/>
        <w:rPr>
          <w:color w:val="000000"/>
        </w:rPr>
      </w:pPr>
      <w:r>
        <w:rPr>
          <w:color w:val="000000"/>
        </w:rPr>
        <w:lastRenderedPageBreak/>
        <w:tab/>
      </w:r>
      <w:r>
        <w:rPr>
          <w:color w:val="000000"/>
        </w:rPr>
        <w:tab/>
      </w:r>
      <w:r w:rsidR="006774DF" w:rsidRPr="006774DF">
        <w:rPr>
          <w:color w:val="000000"/>
        </w:rPr>
        <w:t xml:space="preserve">Документацията се актуализира при необходимост и се преразглежда на всеки пет години, за да се </w:t>
      </w:r>
      <w:r w:rsidR="00992E4A">
        <w:rPr>
          <w:color w:val="000000"/>
        </w:rPr>
        <w:t>потвърди</w:t>
      </w:r>
      <w:r w:rsidR="006774DF" w:rsidRPr="006774DF">
        <w:rPr>
          <w:color w:val="000000"/>
        </w:rPr>
        <w:t xml:space="preserve"> че критериите за избор, </w:t>
      </w:r>
      <w:r w:rsidR="006774DF" w:rsidRPr="00666481">
        <w:rPr>
          <w:color w:val="000000"/>
        </w:rPr>
        <w:t>проекта</w:t>
      </w:r>
      <w:r w:rsidR="006774DF" w:rsidRPr="006774DF">
        <w:rPr>
          <w:color w:val="000000"/>
        </w:rPr>
        <w:t xml:space="preserve"> на мрежата от площадки за мониторинг и местоположението на всяка една от тях продължават да са валидни и оптимални с течение на времето. Документацията се представя на Европейската </w:t>
      </w:r>
      <w:r w:rsidR="00784058">
        <w:rPr>
          <w:color w:val="000000"/>
        </w:rPr>
        <w:t>комисия в срок от 3 месеца след</w:t>
      </w:r>
      <w:r w:rsidR="006774DF" w:rsidRPr="006774DF">
        <w:rPr>
          <w:color w:val="000000"/>
        </w:rPr>
        <w:t xml:space="preserve"> </w:t>
      </w:r>
      <w:r w:rsidR="006C6949">
        <w:rPr>
          <w:color w:val="000000"/>
        </w:rPr>
        <w:t xml:space="preserve">нейното </w:t>
      </w:r>
      <w:r w:rsidR="006774DF" w:rsidRPr="006774DF">
        <w:rPr>
          <w:color w:val="000000"/>
        </w:rPr>
        <w:t>поискване.</w:t>
      </w:r>
      <w:r w:rsidR="003A1C1D">
        <w:rPr>
          <w:color w:val="000000"/>
        </w:rPr>
        <w:t>“</w:t>
      </w:r>
      <w:r w:rsidR="0025198C">
        <w:rPr>
          <w:color w:val="000000"/>
        </w:rPr>
        <w:t>.</w:t>
      </w:r>
    </w:p>
    <w:p w14:paraId="569C3250" w14:textId="77777777" w:rsidR="00AF087C" w:rsidRPr="00FD2994" w:rsidRDefault="00AF087C" w:rsidP="006774DF">
      <w:pPr>
        <w:widowControl w:val="0"/>
        <w:tabs>
          <w:tab w:val="left" w:pos="284"/>
        </w:tabs>
        <w:autoSpaceDE w:val="0"/>
        <w:autoSpaceDN w:val="0"/>
        <w:adjustRightInd w:val="0"/>
        <w:jc w:val="both"/>
      </w:pPr>
    </w:p>
    <w:p w14:paraId="4143016D" w14:textId="447363F5" w:rsidR="00AF087C" w:rsidRDefault="00AF087C" w:rsidP="005D0767">
      <w:pPr>
        <w:widowControl w:val="0"/>
        <w:tabs>
          <w:tab w:val="left" w:pos="426"/>
        </w:tabs>
        <w:autoSpaceDE w:val="0"/>
        <w:autoSpaceDN w:val="0"/>
        <w:adjustRightInd w:val="0"/>
        <w:ind w:firstLine="426"/>
        <w:jc w:val="both"/>
        <w:rPr>
          <w:bCs/>
        </w:rPr>
      </w:pPr>
      <w:r w:rsidRPr="00FD2994">
        <w:rPr>
          <w:b/>
        </w:rPr>
        <w:t xml:space="preserve">§ </w:t>
      </w:r>
      <w:r w:rsidR="00025B62">
        <w:rPr>
          <w:b/>
        </w:rPr>
        <w:t>9</w:t>
      </w:r>
      <w:r w:rsidRPr="00FD2994">
        <w:rPr>
          <w:b/>
        </w:rPr>
        <w:t>.</w:t>
      </w:r>
      <w:r w:rsidR="00CF027C">
        <w:t xml:space="preserve"> </w:t>
      </w:r>
      <w:r w:rsidR="004D026D">
        <w:t xml:space="preserve">В </w:t>
      </w:r>
      <w:r w:rsidR="00AB479D" w:rsidRPr="00FD2994">
        <w:t>П</w:t>
      </w:r>
      <w:r w:rsidR="00C65493" w:rsidRPr="00FD2994">
        <w:t xml:space="preserve">риложение </w:t>
      </w:r>
      <w:r w:rsidR="00C65493" w:rsidRPr="00FD2994">
        <w:rPr>
          <w:bCs/>
        </w:rPr>
        <w:t>№ 8</w:t>
      </w:r>
      <w:r w:rsidR="007F55CC" w:rsidRPr="00FD2994">
        <w:rPr>
          <w:bCs/>
        </w:rPr>
        <w:t xml:space="preserve"> къ</w:t>
      </w:r>
      <w:r w:rsidR="004D1991" w:rsidRPr="00FD2994">
        <w:rPr>
          <w:bCs/>
        </w:rPr>
        <w:t>м чл. 13, т. 2 и чл. 22, ал. 2</w:t>
      </w:r>
      <w:r w:rsidR="001E087F">
        <w:rPr>
          <w:bCs/>
        </w:rPr>
        <w:t xml:space="preserve"> се правят следните изменения и допълнения</w:t>
      </w:r>
      <w:r w:rsidR="007F55CC" w:rsidRPr="00FD2994">
        <w:rPr>
          <w:bCs/>
        </w:rPr>
        <w:t>:</w:t>
      </w:r>
    </w:p>
    <w:p w14:paraId="429A8EAF" w14:textId="33ECFF15" w:rsidR="00CF027C" w:rsidRPr="00390888" w:rsidRDefault="00E85BD7" w:rsidP="00E85BD7">
      <w:pPr>
        <w:widowControl w:val="0"/>
        <w:numPr>
          <w:ilvl w:val="0"/>
          <w:numId w:val="5"/>
        </w:numPr>
        <w:tabs>
          <w:tab w:val="left" w:pos="426"/>
        </w:tabs>
        <w:autoSpaceDE w:val="0"/>
        <w:autoSpaceDN w:val="0"/>
        <w:adjustRightInd w:val="0"/>
        <w:ind w:left="0" w:firstLine="426"/>
        <w:jc w:val="both"/>
      </w:pPr>
      <w:r>
        <w:rPr>
          <w:bCs/>
        </w:rPr>
        <w:t>Думите „</w:t>
      </w:r>
      <w:r w:rsidRPr="00FD2994">
        <w:t xml:space="preserve">Приложение </w:t>
      </w:r>
      <w:r w:rsidRPr="00FD2994">
        <w:rPr>
          <w:bCs/>
        </w:rPr>
        <w:t>№ 8 към чл. 13, т. 2 и чл. 22, ал. 2</w:t>
      </w:r>
      <w:r>
        <w:rPr>
          <w:bCs/>
        </w:rPr>
        <w:t>“ се заменят с „</w:t>
      </w:r>
      <w:r w:rsidR="00EF2D14" w:rsidRPr="00572AFF">
        <w:rPr>
          <w:bCs/>
          <w:lang w:val="x-none"/>
        </w:rPr>
        <w:t>Приложение № 8</w:t>
      </w:r>
      <w:r w:rsidR="00EF2D14">
        <w:rPr>
          <w:bCs/>
        </w:rPr>
        <w:t xml:space="preserve"> към чл. 13, т. 2, чл. 22, т</w:t>
      </w:r>
      <w:r w:rsidR="00EF2D14" w:rsidRPr="00EF2D14">
        <w:rPr>
          <w:bCs/>
        </w:rPr>
        <w:t>. 2</w:t>
      </w:r>
      <w:r w:rsidR="000A48E3">
        <w:rPr>
          <w:bCs/>
        </w:rPr>
        <w:t xml:space="preserve"> и чл.17а</w:t>
      </w:r>
      <w:r>
        <w:rPr>
          <w:bCs/>
        </w:rPr>
        <w:t>“.</w:t>
      </w:r>
    </w:p>
    <w:p w14:paraId="3E60B27B" w14:textId="77777777" w:rsidR="00390888" w:rsidRPr="00FD2994" w:rsidRDefault="00390888" w:rsidP="00E85BD7">
      <w:pPr>
        <w:widowControl w:val="0"/>
        <w:numPr>
          <w:ilvl w:val="0"/>
          <w:numId w:val="5"/>
        </w:numPr>
        <w:tabs>
          <w:tab w:val="left" w:pos="426"/>
        </w:tabs>
        <w:autoSpaceDE w:val="0"/>
        <w:autoSpaceDN w:val="0"/>
        <w:adjustRightInd w:val="0"/>
        <w:ind w:left="0" w:firstLine="426"/>
        <w:jc w:val="both"/>
      </w:pPr>
      <w:r>
        <w:t xml:space="preserve">Раздел </w:t>
      </w:r>
      <w:r>
        <w:rPr>
          <w:lang w:val="en-US"/>
        </w:rPr>
        <w:t>III</w:t>
      </w:r>
      <w:r w:rsidRPr="00B70552">
        <w:rPr>
          <w:lang w:val="ru-RU"/>
        </w:rPr>
        <w:t xml:space="preserve"> </w:t>
      </w:r>
      <w:r>
        <w:t>се изменя така:</w:t>
      </w:r>
    </w:p>
    <w:p w14:paraId="1EABE989" w14:textId="77777777" w:rsidR="00736A8A" w:rsidRPr="00FD2994" w:rsidRDefault="007E669C" w:rsidP="00736A8A">
      <w:pPr>
        <w:widowControl w:val="0"/>
        <w:autoSpaceDE w:val="0"/>
        <w:autoSpaceDN w:val="0"/>
        <w:adjustRightInd w:val="0"/>
        <w:ind w:firstLine="480"/>
        <w:jc w:val="both"/>
        <w:rPr>
          <w:bCs/>
        </w:rPr>
      </w:pPr>
      <w:r w:rsidRPr="00FD2994">
        <w:rPr>
          <w:b/>
        </w:rPr>
        <w:t>„</w:t>
      </w:r>
      <w:r w:rsidR="00736A8A" w:rsidRPr="00FD2994">
        <w:t xml:space="preserve">III. Осигуряване на качество на измерванията за оценката на КАВ: </w:t>
      </w:r>
      <w:r w:rsidR="007C49A9" w:rsidRPr="00FD2994">
        <w:rPr>
          <w:bCs/>
        </w:rPr>
        <w:t>в</w:t>
      </w:r>
      <w:r w:rsidR="00736A8A" w:rsidRPr="00FD2994">
        <w:rPr>
          <w:bCs/>
        </w:rPr>
        <w:t>алидиране на данните</w:t>
      </w:r>
    </w:p>
    <w:p w14:paraId="442ADFDF" w14:textId="58D6F1CC" w:rsidR="004C060D" w:rsidRPr="004C060D" w:rsidRDefault="004C060D" w:rsidP="004C060D">
      <w:pPr>
        <w:widowControl w:val="0"/>
        <w:autoSpaceDE w:val="0"/>
        <w:autoSpaceDN w:val="0"/>
        <w:adjustRightInd w:val="0"/>
        <w:ind w:firstLine="480"/>
        <w:jc w:val="both"/>
        <w:rPr>
          <w:bCs/>
        </w:rPr>
      </w:pPr>
      <w:r w:rsidRPr="004C060D">
        <w:rPr>
          <w:bCs/>
        </w:rPr>
        <w:t xml:space="preserve">1. За осигуряване точност на измерванията и съответствие със зададените в раздел </w:t>
      </w:r>
      <w:r w:rsidRPr="004C060D">
        <w:rPr>
          <w:bCs/>
          <w:lang w:val="en-US"/>
        </w:rPr>
        <w:t>I</w:t>
      </w:r>
      <w:r w:rsidRPr="004C060D">
        <w:rPr>
          <w:bCs/>
        </w:rPr>
        <w:t xml:space="preserve"> </w:t>
      </w:r>
      <w:proofErr w:type="spellStart"/>
      <w:r w:rsidRPr="004C060D">
        <w:rPr>
          <w:bCs/>
          <w:lang w:val="x-none"/>
        </w:rPr>
        <w:t>Изисквания</w:t>
      </w:r>
      <w:proofErr w:type="spellEnd"/>
      <w:r w:rsidRPr="004C060D">
        <w:rPr>
          <w:bCs/>
          <w:lang w:val="x-none"/>
        </w:rPr>
        <w:t xml:space="preserve"> </w:t>
      </w:r>
      <w:proofErr w:type="spellStart"/>
      <w:r w:rsidRPr="004C060D">
        <w:rPr>
          <w:bCs/>
          <w:lang w:val="x-none"/>
        </w:rPr>
        <w:t>към</w:t>
      </w:r>
      <w:proofErr w:type="spellEnd"/>
      <w:r w:rsidRPr="004C060D">
        <w:rPr>
          <w:bCs/>
          <w:lang w:val="x-none"/>
        </w:rPr>
        <w:t xml:space="preserve"> </w:t>
      </w:r>
      <w:proofErr w:type="spellStart"/>
      <w:r w:rsidRPr="004C060D">
        <w:rPr>
          <w:bCs/>
          <w:lang w:val="x-none"/>
        </w:rPr>
        <w:t>качеството</w:t>
      </w:r>
      <w:proofErr w:type="spellEnd"/>
      <w:r w:rsidRPr="004C060D">
        <w:rPr>
          <w:bCs/>
          <w:lang w:val="x-none"/>
        </w:rPr>
        <w:t xml:space="preserve"> </w:t>
      </w:r>
      <w:proofErr w:type="spellStart"/>
      <w:r w:rsidRPr="004C060D">
        <w:rPr>
          <w:bCs/>
          <w:lang w:val="x-none"/>
        </w:rPr>
        <w:t>на</w:t>
      </w:r>
      <w:proofErr w:type="spellEnd"/>
      <w:r w:rsidRPr="004C060D">
        <w:rPr>
          <w:bCs/>
          <w:lang w:val="x-none"/>
        </w:rPr>
        <w:t xml:space="preserve"> </w:t>
      </w:r>
      <w:proofErr w:type="spellStart"/>
      <w:r w:rsidRPr="004C060D">
        <w:rPr>
          <w:bCs/>
          <w:lang w:val="x-none"/>
        </w:rPr>
        <w:t>данните</w:t>
      </w:r>
      <w:proofErr w:type="spellEnd"/>
      <w:r w:rsidRPr="004C060D">
        <w:rPr>
          <w:bCs/>
          <w:lang w:val="x-none"/>
        </w:rPr>
        <w:t xml:space="preserve"> </w:t>
      </w:r>
      <w:proofErr w:type="spellStart"/>
      <w:r w:rsidRPr="004C060D">
        <w:rPr>
          <w:bCs/>
          <w:lang w:val="x-none"/>
        </w:rPr>
        <w:t>за</w:t>
      </w:r>
      <w:proofErr w:type="spellEnd"/>
      <w:r w:rsidRPr="004C060D">
        <w:rPr>
          <w:bCs/>
          <w:lang w:val="x-none"/>
        </w:rPr>
        <w:t xml:space="preserve"> </w:t>
      </w:r>
      <w:proofErr w:type="spellStart"/>
      <w:r w:rsidRPr="004C060D">
        <w:rPr>
          <w:bCs/>
          <w:lang w:val="x-none"/>
        </w:rPr>
        <w:t>оценка</w:t>
      </w:r>
      <w:proofErr w:type="spellEnd"/>
      <w:r w:rsidRPr="004C060D">
        <w:rPr>
          <w:bCs/>
          <w:lang w:val="x-none"/>
        </w:rPr>
        <w:t xml:space="preserve"> </w:t>
      </w:r>
      <w:proofErr w:type="spellStart"/>
      <w:r w:rsidRPr="004C060D">
        <w:rPr>
          <w:bCs/>
          <w:lang w:val="x-none"/>
        </w:rPr>
        <w:t>на</w:t>
      </w:r>
      <w:proofErr w:type="spellEnd"/>
      <w:r w:rsidRPr="004C060D">
        <w:rPr>
          <w:bCs/>
          <w:lang w:val="x-none"/>
        </w:rPr>
        <w:t xml:space="preserve"> КАВ</w:t>
      </w:r>
      <w:r w:rsidRPr="00B70552">
        <w:rPr>
          <w:bCs/>
          <w:lang w:val="ru-RU"/>
        </w:rPr>
        <w:t xml:space="preserve"> </w:t>
      </w:r>
      <w:r w:rsidRPr="004C060D">
        <w:rPr>
          <w:bCs/>
        </w:rPr>
        <w:t>следва да бъдат спазени следните изисквания:</w:t>
      </w:r>
    </w:p>
    <w:p w14:paraId="3BDB4335" w14:textId="77777777" w:rsidR="004C060D" w:rsidRPr="004C060D" w:rsidRDefault="004C060D" w:rsidP="004C060D">
      <w:pPr>
        <w:widowControl w:val="0"/>
        <w:autoSpaceDE w:val="0"/>
        <w:autoSpaceDN w:val="0"/>
        <w:adjustRightInd w:val="0"/>
        <w:ind w:firstLine="480"/>
        <w:jc w:val="both"/>
        <w:rPr>
          <w:bCs/>
        </w:rPr>
      </w:pPr>
      <w:r w:rsidRPr="004C060D">
        <w:rPr>
          <w:bCs/>
        </w:rPr>
        <w:t>1.</w:t>
      </w:r>
      <w:proofErr w:type="spellStart"/>
      <w:r w:rsidRPr="004C060D">
        <w:rPr>
          <w:bCs/>
        </w:rPr>
        <w:t>1</w:t>
      </w:r>
      <w:proofErr w:type="spellEnd"/>
      <w:r w:rsidRPr="004C060D">
        <w:rPr>
          <w:bCs/>
        </w:rPr>
        <w:t>.</w:t>
      </w:r>
      <w:r w:rsidRPr="00B70552">
        <w:rPr>
          <w:bCs/>
          <w:lang w:val="ru-RU"/>
        </w:rPr>
        <w:t xml:space="preserve"> </w:t>
      </w:r>
      <w:r w:rsidRPr="004C060D">
        <w:rPr>
          <w:bCs/>
        </w:rPr>
        <w:t xml:space="preserve">Всички измервания да са </w:t>
      </w:r>
      <w:proofErr w:type="spellStart"/>
      <w:r w:rsidRPr="004C060D">
        <w:rPr>
          <w:bCs/>
        </w:rPr>
        <w:t>проследими</w:t>
      </w:r>
      <w:proofErr w:type="spellEnd"/>
      <w:r w:rsidRPr="004C060D">
        <w:rPr>
          <w:bCs/>
        </w:rPr>
        <w:t xml:space="preserve"> в съответствие с изискванията, формулирани в хармонизирания стандарт за лабораториите за изпитване и калибриране;</w:t>
      </w:r>
    </w:p>
    <w:p w14:paraId="65AE0FE2" w14:textId="77777777" w:rsidR="004C060D" w:rsidRPr="004C060D" w:rsidRDefault="004C060D" w:rsidP="004C060D">
      <w:pPr>
        <w:widowControl w:val="0"/>
        <w:autoSpaceDE w:val="0"/>
        <w:autoSpaceDN w:val="0"/>
        <w:adjustRightInd w:val="0"/>
        <w:ind w:firstLine="480"/>
        <w:jc w:val="both"/>
        <w:rPr>
          <w:bCs/>
        </w:rPr>
      </w:pPr>
      <w:r w:rsidRPr="004C060D">
        <w:rPr>
          <w:bCs/>
        </w:rPr>
        <w:t>1.2. Да има въведена система за осигуряване и контрол на качеството, предвиждаща редовна поддръжка за осигуряване на постоянна точност на измервателните уреди. Системата за осигуряване на качеството трябва да се преглежда при необходимост, най-малко веднъж на всеки пет години, от съответната национална референтна лаборатория;</w:t>
      </w:r>
    </w:p>
    <w:p w14:paraId="61A443D1" w14:textId="77777777" w:rsidR="004C060D" w:rsidRPr="004C060D" w:rsidRDefault="004C060D" w:rsidP="004C060D">
      <w:pPr>
        <w:widowControl w:val="0"/>
        <w:autoSpaceDE w:val="0"/>
        <w:autoSpaceDN w:val="0"/>
        <w:adjustRightInd w:val="0"/>
        <w:ind w:firstLine="480"/>
        <w:jc w:val="both"/>
        <w:rPr>
          <w:bCs/>
        </w:rPr>
      </w:pPr>
      <w:r w:rsidRPr="004C060D">
        <w:rPr>
          <w:bCs/>
        </w:rPr>
        <w:t>1.3. Да има въведена процедура за осигуряване/контрол на качеството на процеса на събиране и докладване на данните и участие в програмите за осигуряване на качество на измерванията в рамките на Европейския съюз;</w:t>
      </w:r>
    </w:p>
    <w:p w14:paraId="75CA8649" w14:textId="77777777" w:rsidR="004C060D" w:rsidRPr="004C060D" w:rsidRDefault="004C060D" w:rsidP="004C060D">
      <w:pPr>
        <w:widowControl w:val="0"/>
        <w:autoSpaceDE w:val="0"/>
        <w:autoSpaceDN w:val="0"/>
        <w:adjustRightInd w:val="0"/>
        <w:ind w:firstLine="480"/>
        <w:jc w:val="both"/>
        <w:rPr>
          <w:bCs/>
        </w:rPr>
      </w:pPr>
      <w:r w:rsidRPr="004C060D">
        <w:rPr>
          <w:bCs/>
        </w:rPr>
        <w:t>1.4. Националните референтни лаборатории към ИАОС</w:t>
      </w:r>
      <w:r w:rsidR="009919AD">
        <w:rPr>
          <w:bCs/>
        </w:rPr>
        <w:t xml:space="preserve"> да</w:t>
      </w:r>
      <w:r w:rsidRPr="004C060D">
        <w:rPr>
          <w:bCs/>
        </w:rPr>
        <w:t xml:space="preserve"> са акредитирани за референтните методи, посочени в приложение № 11 към чл. 17 и чл. 27, най-малко по отношение на тези замърсители, чиито концентрации надхвърлят долния оценъчен праг, съгласно съответния хармонизиран стандарт за лаборатории за изпитване и калибриране, препратка към който е публикувана в </w:t>
      </w:r>
      <w:r w:rsidRPr="004C060D">
        <w:rPr>
          <w:bCs/>
          <w:i/>
          <w:iCs/>
        </w:rPr>
        <w:t>Официален вестник на Европейския съюз</w:t>
      </w:r>
      <w:r w:rsidRPr="004C060D">
        <w:rPr>
          <w:bCs/>
        </w:rPr>
        <w:t xml:space="preserve">, в съответствие с посоченото в чл. 2, параграф 9 от Регламент (ЕО) №765/2008 за определяне на изискванията за акредитация и надзор на пазара. Тези лаборатории носят отговорност за координирането на територията на страната на осъществяването на програмите на Европейския съюз за осигуряване на качество, които се организират от Съвместния изследователски център на Европейската комисия, както и координират на национално ниво подходящото използване на референтните методи и доказването на еквивалентност на нереферентните методи. Националните референтни лаборатории, които организират провеждането на </w:t>
      </w:r>
      <w:proofErr w:type="spellStart"/>
      <w:r w:rsidRPr="004C060D">
        <w:rPr>
          <w:bCs/>
        </w:rPr>
        <w:t>междулабораторни</w:t>
      </w:r>
      <w:proofErr w:type="spellEnd"/>
      <w:r w:rsidRPr="004C060D">
        <w:rPr>
          <w:bCs/>
        </w:rPr>
        <w:t xml:space="preserve"> сравнения (</w:t>
      </w:r>
      <w:proofErr w:type="spellStart"/>
      <w:r w:rsidRPr="004C060D">
        <w:rPr>
          <w:bCs/>
        </w:rPr>
        <w:t>intercomparison</w:t>
      </w:r>
      <w:proofErr w:type="spellEnd"/>
      <w:r w:rsidRPr="004C060D">
        <w:rPr>
          <w:bCs/>
        </w:rPr>
        <w:t>) на национално ниво също следва да бъдат акредитирани съгласно съответния хармонизиран стандарт за изпитвания за пригодност;</w:t>
      </w:r>
    </w:p>
    <w:p w14:paraId="758E84CB" w14:textId="187E192F" w:rsidR="004C060D" w:rsidRPr="004C060D" w:rsidRDefault="004C060D" w:rsidP="004C060D">
      <w:pPr>
        <w:widowControl w:val="0"/>
        <w:autoSpaceDE w:val="0"/>
        <w:autoSpaceDN w:val="0"/>
        <w:adjustRightInd w:val="0"/>
        <w:ind w:firstLine="480"/>
        <w:jc w:val="both"/>
        <w:rPr>
          <w:bCs/>
        </w:rPr>
      </w:pPr>
      <w:r w:rsidRPr="004C060D">
        <w:rPr>
          <w:bCs/>
        </w:rPr>
        <w:t>1.5. Националните референтни лаборатории</w:t>
      </w:r>
      <w:r w:rsidR="00862DD4">
        <w:rPr>
          <w:bCs/>
        </w:rPr>
        <w:t xml:space="preserve"> към ИАОС</w:t>
      </w:r>
      <w:r w:rsidRPr="004C060D">
        <w:rPr>
          <w:bCs/>
        </w:rPr>
        <w:t xml:space="preserve"> да вземат участие най-малко веднъж на всеки три години в провежданите в рамките на Европейския съюз програми за осигуряване на качество, организирани от Съвместния изследователски център на Европейската комисия. Ако резултатите от това участие са незадоволителни, съответната национална лаборатория следва при следващото си участие в </w:t>
      </w:r>
      <w:proofErr w:type="spellStart"/>
      <w:r w:rsidRPr="004C060D">
        <w:rPr>
          <w:bCs/>
        </w:rPr>
        <w:t>междулабораторни</w:t>
      </w:r>
      <w:proofErr w:type="spellEnd"/>
      <w:r w:rsidRPr="004C060D">
        <w:rPr>
          <w:bCs/>
        </w:rPr>
        <w:t xml:space="preserve"> сравнения (</w:t>
      </w:r>
      <w:proofErr w:type="spellStart"/>
      <w:r w:rsidRPr="004C060D">
        <w:rPr>
          <w:bCs/>
        </w:rPr>
        <w:t>intercomparison</w:t>
      </w:r>
      <w:proofErr w:type="spellEnd"/>
      <w:r w:rsidRPr="004C060D">
        <w:rPr>
          <w:bCs/>
        </w:rPr>
        <w:t>) да демонстрира задоволителни коригиращи мерки и да представи доклад за тях в Съвместния изследователски център;</w:t>
      </w:r>
    </w:p>
    <w:p w14:paraId="77895DB3" w14:textId="3898EE3A" w:rsidR="004C060D" w:rsidRPr="004C060D" w:rsidRDefault="004C060D" w:rsidP="004C060D">
      <w:pPr>
        <w:widowControl w:val="0"/>
        <w:autoSpaceDE w:val="0"/>
        <w:autoSpaceDN w:val="0"/>
        <w:adjustRightInd w:val="0"/>
        <w:ind w:firstLine="480"/>
        <w:jc w:val="both"/>
        <w:rPr>
          <w:bCs/>
        </w:rPr>
      </w:pPr>
      <w:r w:rsidRPr="004C060D">
        <w:rPr>
          <w:bCs/>
        </w:rPr>
        <w:t xml:space="preserve">1.6. Националните референтни лаборатории </w:t>
      </w:r>
      <w:r w:rsidR="00862DD4">
        <w:rPr>
          <w:bCs/>
        </w:rPr>
        <w:t xml:space="preserve">към ИАОС </w:t>
      </w:r>
      <w:r w:rsidRPr="004C060D">
        <w:rPr>
          <w:bCs/>
        </w:rPr>
        <w:t>да подпомагат дейностите на Европейската мрежа на национални референтни лаборатории, създадена от Комисията.</w:t>
      </w:r>
    </w:p>
    <w:p w14:paraId="6BDC82E7" w14:textId="77777777" w:rsidR="00815A02" w:rsidRPr="00FD2994" w:rsidRDefault="00815A02" w:rsidP="00736A8A">
      <w:pPr>
        <w:widowControl w:val="0"/>
        <w:autoSpaceDE w:val="0"/>
        <w:autoSpaceDN w:val="0"/>
        <w:adjustRightInd w:val="0"/>
        <w:ind w:firstLine="480"/>
        <w:jc w:val="both"/>
      </w:pPr>
    </w:p>
    <w:p w14:paraId="0596C0E5" w14:textId="03685169" w:rsidR="00CE34F3" w:rsidRDefault="00815A02" w:rsidP="002B5B80">
      <w:pPr>
        <w:ind w:firstLine="426"/>
        <w:jc w:val="both"/>
        <w:rPr>
          <w:bCs/>
        </w:rPr>
      </w:pPr>
      <w:r w:rsidRPr="00FD2994">
        <w:rPr>
          <w:b/>
        </w:rPr>
        <w:t xml:space="preserve">§ </w:t>
      </w:r>
      <w:r w:rsidR="00025B62">
        <w:rPr>
          <w:b/>
        </w:rPr>
        <w:t>10</w:t>
      </w:r>
      <w:r w:rsidRPr="00FD2994">
        <w:rPr>
          <w:b/>
        </w:rPr>
        <w:t>.</w:t>
      </w:r>
      <w:r w:rsidR="00AB479D" w:rsidRPr="00FD2994">
        <w:rPr>
          <w:b/>
        </w:rPr>
        <w:t xml:space="preserve"> </w:t>
      </w:r>
      <w:r w:rsidR="00AB479D" w:rsidRPr="00FD2994">
        <w:t>В Прило</w:t>
      </w:r>
      <w:r w:rsidR="00E1737F" w:rsidRPr="00FD2994">
        <w:t xml:space="preserve">жение </w:t>
      </w:r>
      <w:r w:rsidR="00E1737F" w:rsidRPr="00FD2994">
        <w:rPr>
          <w:bCs/>
        </w:rPr>
        <w:t>№ 11 към чл. 17</w:t>
      </w:r>
      <w:r w:rsidR="00CE34F3">
        <w:rPr>
          <w:bCs/>
        </w:rPr>
        <w:t xml:space="preserve"> се правят следните изменения и допълнения:</w:t>
      </w:r>
    </w:p>
    <w:p w14:paraId="0372D71B" w14:textId="77777777" w:rsidR="00CE34F3" w:rsidRDefault="00F07C62" w:rsidP="00CE34F3">
      <w:pPr>
        <w:numPr>
          <w:ilvl w:val="0"/>
          <w:numId w:val="6"/>
        </w:numPr>
        <w:jc w:val="both"/>
        <w:rPr>
          <w:bCs/>
        </w:rPr>
      </w:pPr>
      <w:r>
        <w:rPr>
          <w:bCs/>
        </w:rPr>
        <w:t>Думите „</w:t>
      </w:r>
      <w:r w:rsidRPr="00483F83">
        <w:rPr>
          <w:bCs/>
          <w:lang w:val="x-none"/>
        </w:rPr>
        <w:t>Приложение № 11</w:t>
      </w:r>
      <w:r w:rsidR="00BA4A07">
        <w:rPr>
          <w:bCs/>
        </w:rPr>
        <w:t xml:space="preserve"> </w:t>
      </w:r>
      <w:r w:rsidR="00BA4A07" w:rsidRPr="00FD2994">
        <w:rPr>
          <w:bCs/>
        </w:rPr>
        <w:t>към чл. 17</w:t>
      </w:r>
      <w:r w:rsidR="00BA4A07">
        <w:rPr>
          <w:bCs/>
        </w:rPr>
        <w:t xml:space="preserve">“ се заменят с „Приложение </w:t>
      </w:r>
      <w:r w:rsidR="00BA4A07" w:rsidRPr="00483F83">
        <w:rPr>
          <w:bCs/>
          <w:lang w:val="x-none"/>
        </w:rPr>
        <w:t>№ 11</w:t>
      </w:r>
      <w:r w:rsidR="00BA4A07">
        <w:rPr>
          <w:bCs/>
        </w:rPr>
        <w:t xml:space="preserve"> </w:t>
      </w:r>
      <w:r w:rsidR="00BA4A07" w:rsidRPr="00FD2994">
        <w:rPr>
          <w:bCs/>
        </w:rPr>
        <w:t>към чл. 17</w:t>
      </w:r>
      <w:r w:rsidR="00BA4A07">
        <w:rPr>
          <w:bCs/>
        </w:rPr>
        <w:t xml:space="preserve"> и чл. 27“.</w:t>
      </w:r>
    </w:p>
    <w:p w14:paraId="67B2C5FA" w14:textId="77777777" w:rsidR="00574417" w:rsidRPr="00377CB2" w:rsidRDefault="00377CB2" w:rsidP="00377CB2">
      <w:pPr>
        <w:numPr>
          <w:ilvl w:val="0"/>
          <w:numId w:val="6"/>
        </w:numPr>
        <w:jc w:val="both"/>
        <w:rPr>
          <w:bCs/>
        </w:rPr>
      </w:pPr>
      <w:r>
        <w:rPr>
          <w:bCs/>
        </w:rPr>
        <w:t>Р</w:t>
      </w:r>
      <w:r w:rsidR="00A25AFA">
        <w:rPr>
          <w:bCs/>
        </w:rPr>
        <w:t>аздел I се изменя</w:t>
      </w:r>
      <w:r w:rsidR="00D31624" w:rsidRPr="00377CB2">
        <w:rPr>
          <w:bCs/>
        </w:rPr>
        <w:t xml:space="preserve"> така:</w:t>
      </w:r>
    </w:p>
    <w:p w14:paraId="5061F73D" w14:textId="77777777" w:rsidR="00DD0CBB" w:rsidRPr="00FD2994" w:rsidRDefault="00DD0CBB" w:rsidP="00DD0CBB">
      <w:pPr>
        <w:widowControl w:val="0"/>
        <w:autoSpaceDE w:val="0"/>
        <w:autoSpaceDN w:val="0"/>
        <w:adjustRightInd w:val="0"/>
        <w:ind w:firstLine="480"/>
        <w:jc w:val="both"/>
        <w:rPr>
          <w:b/>
          <w:bCs/>
        </w:rPr>
      </w:pPr>
      <w:r w:rsidRPr="00FD2994">
        <w:lastRenderedPageBreak/>
        <w:t>„I. Референтни методи за измерване</w:t>
      </w:r>
      <w:r w:rsidR="00B26E92">
        <w:rPr>
          <w:b/>
          <w:bCs/>
        </w:rPr>
        <w:t xml:space="preserve"> </w:t>
      </w:r>
    </w:p>
    <w:p w14:paraId="0087E64D" w14:textId="1218BA46" w:rsidR="00A25AFA" w:rsidRPr="00A25AFA" w:rsidRDefault="00A25AFA" w:rsidP="00A25AFA">
      <w:pPr>
        <w:widowControl w:val="0"/>
        <w:autoSpaceDE w:val="0"/>
        <w:autoSpaceDN w:val="0"/>
        <w:adjustRightInd w:val="0"/>
        <w:ind w:firstLine="480"/>
        <w:jc w:val="both"/>
        <w:rPr>
          <w:bCs/>
        </w:rPr>
      </w:pPr>
      <w:r w:rsidRPr="00A25AFA">
        <w:rPr>
          <w:bCs/>
        </w:rPr>
        <w:t xml:space="preserve">1. Метод за измерване на съдържанието на серен диоксид </w:t>
      </w:r>
      <w:r w:rsidR="0025198C">
        <w:rPr>
          <w:bCs/>
        </w:rPr>
        <w:t>–</w:t>
      </w:r>
      <w:r w:rsidRPr="00A25AFA">
        <w:rPr>
          <w:bCs/>
        </w:rPr>
        <w:t xml:space="preserve"> БДС ЕN 14212:2012 „Качество на атмосферния въздух. Стандартен метод за измерване на концентрацията на серен диоксид с улт</w:t>
      </w:r>
      <w:r>
        <w:rPr>
          <w:bCs/>
        </w:rPr>
        <w:t xml:space="preserve">равиолетова флуоресценция“. </w:t>
      </w:r>
    </w:p>
    <w:p w14:paraId="789AD2F0" w14:textId="59AEB784" w:rsidR="00A25AFA" w:rsidRPr="00A25AFA" w:rsidRDefault="00A25AFA" w:rsidP="00A25AFA">
      <w:pPr>
        <w:widowControl w:val="0"/>
        <w:autoSpaceDE w:val="0"/>
        <w:autoSpaceDN w:val="0"/>
        <w:adjustRightInd w:val="0"/>
        <w:ind w:firstLine="480"/>
        <w:jc w:val="both"/>
        <w:rPr>
          <w:bCs/>
        </w:rPr>
      </w:pPr>
      <w:r w:rsidRPr="00A25AFA">
        <w:rPr>
          <w:bCs/>
        </w:rPr>
        <w:t xml:space="preserve">2. Метод за измерване на съдържанието на азотен диоксид и азотни оксиди </w:t>
      </w:r>
      <w:r w:rsidR="0025198C">
        <w:rPr>
          <w:bCs/>
        </w:rPr>
        <w:t>–</w:t>
      </w:r>
      <w:r w:rsidRPr="00A25AFA">
        <w:rPr>
          <w:bCs/>
        </w:rPr>
        <w:t xml:space="preserve"> БДС ЕN 14211:2012 „Качество на атмосферния въздух. Стандартен метод за измерване на концентрацията на азотен диоксид и азотен </w:t>
      </w:r>
      <w:proofErr w:type="spellStart"/>
      <w:r w:rsidRPr="00A25AFA">
        <w:rPr>
          <w:bCs/>
        </w:rPr>
        <w:t>моноокс</w:t>
      </w:r>
      <w:r w:rsidR="00FF2961">
        <w:rPr>
          <w:bCs/>
        </w:rPr>
        <w:t>ид</w:t>
      </w:r>
      <w:proofErr w:type="spellEnd"/>
      <w:r w:rsidR="00FF2961">
        <w:rPr>
          <w:bCs/>
        </w:rPr>
        <w:t xml:space="preserve"> чрез </w:t>
      </w:r>
      <w:proofErr w:type="spellStart"/>
      <w:r w:rsidR="00FF2961">
        <w:rPr>
          <w:bCs/>
        </w:rPr>
        <w:t>хемилуминесценция</w:t>
      </w:r>
      <w:proofErr w:type="spellEnd"/>
      <w:r w:rsidR="00FF2961">
        <w:rPr>
          <w:bCs/>
        </w:rPr>
        <w:t>“.</w:t>
      </w:r>
    </w:p>
    <w:p w14:paraId="669B3F84" w14:textId="77777777" w:rsidR="00A25AFA" w:rsidRPr="00A25AFA" w:rsidRDefault="00A25AFA" w:rsidP="00A25AFA">
      <w:pPr>
        <w:widowControl w:val="0"/>
        <w:autoSpaceDE w:val="0"/>
        <w:autoSpaceDN w:val="0"/>
        <w:adjustRightInd w:val="0"/>
        <w:ind w:firstLine="480"/>
        <w:jc w:val="both"/>
        <w:rPr>
          <w:bCs/>
        </w:rPr>
      </w:pPr>
      <w:r w:rsidRPr="00A25AFA">
        <w:rPr>
          <w:bCs/>
        </w:rPr>
        <w:t>3. Метод за вземане на проби и измерване на съдържанието на олово:</w:t>
      </w:r>
    </w:p>
    <w:p w14:paraId="6CE099C5" w14:textId="3F39FDA6" w:rsidR="00A25AFA" w:rsidRPr="00A25AFA" w:rsidRDefault="00A25AFA" w:rsidP="00A25AFA">
      <w:pPr>
        <w:widowControl w:val="0"/>
        <w:autoSpaceDE w:val="0"/>
        <w:autoSpaceDN w:val="0"/>
        <w:adjustRightInd w:val="0"/>
        <w:ind w:firstLine="480"/>
        <w:jc w:val="both"/>
        <w:rPr>
          <w:bCs/>
        </w:rPr>
      </w:pPr>
      <w:r w:rsidRPr="00A25AFA">
        <w:rPr>
          <w:bCs/>
        </w:rPr>
        <w:t xml:space="preserve">     - за вземане на проби </w:t>
      </w:r>
      <w:r w:rsidR="0025198C">
        <w:rPr>
          <w:bCs/>
        </w:rPr>
        <w:t>–</w:t>
      </w:r>
      <w:r w:rsidRPr="00A25AFA">
        <w:rPr>
          <w:bCs/>
        </w:rPr>
        <w:t xml:space="preserve"> БДС EN 12341:2014 „Атмосферен въздух. Стандартен </w:t>
      </w:r>
      <w:proofErr w:type="spellStart"/>
      <w:r w:rsidRPr="00A25AFA">
        <w:rPr>
          <w:bCs/>
        </w:rPr>
        <w:t>гравиметричен</w:t>
      </w:r>
      <w:proofErr w:type="spellEnd"/>
      <w:r w:rsidRPr="00A25AFA">
        <w:rPr>
          <w:bCs/>
        </w:rPr>
        <w:t xml:space="preserve"> метод за измерване за определяне на масовата концентрация на суспендирани </w:t>
      </w:r>
      <w:proofErr w:type="spellStart"/>
      <w:r w:rsidRPr="00A25AFA">
        <w:rPr>
          <w:bCs/>
        </w:rPr>
        <w:t>прахови</w:t>
      </w:r>
      <w:proofErr w:type="spellEnd"/>
      <w:r w:rsidRPr="00A25AFA">
        <w:rPr>
          <w:bCs/>
        </w:rPr>
        <w:t xml:space="preserve"> частици PM10 или PM2,5”;</w:t>
      </w:r>
    </w:p>
    <w:p w14:paraId="7F780D34" w14:textId="2EC4AB50" w:rsidR="00A25AFA" w:rsidRPr="00A25AFA" w:rsidRDefault="00A25AFA" w:rsidP="00A25AFA">
      <w:pPr>
        <w:widowControl w:val="0"/>
        <w:autoSpaceDE w:val="0"/>
        <w:autoSpaceDN w:val="0"/>
        <w:adjustRightInd w:val="0"/>
        <w:ind w:firstLine="480"/>
        <w:jc w:val="both"/>
        <w:rPr>
          <w:bCs/>
        </w:rPr>
      </w:pPr>
      <w:r w:rsidRPr="00A25AFA">
        <w:rPr>
          <w:bCs/>
        </w:rPr>
        <w:t xml:space="preserve">     - за измерване на съдържанието на олово </w:t>
      </w:r>
      <w:r w:rsidR="0025198C">
        <w:rPr>
          <w:bCs/>
        </w:rPr>
        <w:t>–</w:t>
      </w:r>
      <w:r w:rsidRPr="00A25AFA">
        <w:rPr>
          <w:bCs/>
        </w:rPr>
        <w:t xml:space="preserve"> БДС EN 14902:2006 „Качество на атмосферния въздух. Стандартен метод за измерване на </w:t>
      </w:r>
      <w:proofErr w:type="spellStart"/>
      <w:r w:rsidRPr="00A25AFA">
        <w:rPr>
          <w:bCs/>
        </w:rPr>
        <w:t>Pb</w:t>
      </w:r>
      <w:proofErr w:type="spellEnd"/>
      <w:r w:rsidRPr="00A25AFA">
        <w:rPr>
          <w:bCs/>
        </w:rPr>
        <w:t xml:space="preserve">, Cd, </w:t>
      </w:r>
      <w:proofErr w:type="spellStart"/>
      <w:r w:rsidRPr="00A25AFA">
        <w:rPr>
          <w:bCs/>
        </w:rPr>
        <w:t>As</w:t>
      </w:r>
      <w:proofErr w:type="spellEnd"/>
      <w:r w:rsidRPr="00A25AFA">
        <w:rPr>
          <w:bCs/>
        </w:rPr>
        <w:t xml:space="preserve"> и </w:t>
      </w:r>
      <w:proofErr w:type="spellStart"/>
      <w:r w:rsidRPr="00A25AFA">
        <w:rPr>
          <w:bCs/>
        </w:rPr>
        <w:t>Ni</w:t>
      </w:r>
      <w:proofErr w:type="spellEnd"/>
      <w:r w:rsidRPr="00A25AFA">
        <w:rPr>
          <w:bCs/>
        </w:rPr>
        <w:t xml:space="preserve"> във фракцията PM10 от суспендираните във въздуха</w:t>
      </w:r>
      <w:r w:rsidR="00FF2961">
        <w:rPr>
          <w:bCs/>
        </w:rPr>
        <w:t xml:space="preserve"> частици“.</w:t>
      </w:r>
    </w:p>
    <w:p w14:paraId="3B9F80CC" w14:textId="49ECE604" w:rsidR="00A25AFA" w:rsidRPr="00A25AFA" w:rsidRDefault="00A25AFA" w:rsidP="00A25AFA">
      <w:pPr>
        <w:widowControl w:val="0"/>
        <w:autoSpaceDE w:val="0"/>
        <w:autoSpaceDN w:val="0"/>
        <w:adjustRightInd w:val="0"/>
        <w:ind w:firstLine="480"/>
        <w:jc w:val="both"/>
        <w:rPr>
          <w:bCs/>
        </w:rPr>
      </w:pPr>
      <w:r w:rsidRPr="00A25AFA">
        <w:rPr>
          <w:bCs/>
        </w:rPr>
        <w:t>4. Метод за вземане на про</w:t>
      </w:r>
      <w:r w:rsidR="00EF6EBC">
        <w:rPr>
          <w:bCs/>
        </w:rPr>
        <w:t xml:space="preserve">би и измерване на съдържанието </w:t>
      </w:r>
      <w:r w:rsidRPr="00A25AFA">
        <w:rPr>
          <w:bCs/>
        </w:rPr>
        <w:t>на ФПЧ</w:t>
      </w:r>
      <w:r w:rsidRPr="00EF6EBC">
        <w:rPr>
          <w:bCs/>
          <w:vertAlign w:val="subscript"/>
        </w:rPr>
        <w:t>10</w:t>
      </w:r>
      <w:r w:rsidRPr="00A25AFA">
        <w:rPr>
          <w:bCs/>
        </w:rPr>
        <w:t xml:space="preserve"> </w:t>
      </w:r>
      <w:r w:rsidR="0025198C">
        <w:rPr>
          <w:bCs/>
        </w:rPr>
        <w:t>–</w:t>
      </w:r>
      <w:r w:rsidRPr="00A25AFA">
        <w:rPr>
          <w:bCs/>
        </w:rPr>
        <w:t xml:space="preserve"> БДС EN 12341:2014 „Атмосферен въздух. Стандартен </w:t>
      </w:r>
      <w:proofErr w:type="spellStart"/>
      <w:r w:rsidRPr="00A25AFA">
        <w:rPr>
          <w:bCs/>
        </w:rPr>
        <w:t>гравиметричен</w:t>
      </w:r>
      <w:proofErr w:type="spellEnd"/>
      <w:r w:rsidRPr="00A25AFA">
        <w:rPr>
          <w:bCs/>
        </w:rPr>
        <w:t xml:space="preserve"> метод за измерване за определяне на масовата концентрация на суспендирани </w:t>
      </w:r>
      <w:proofErr w:type="spellStart"/>
      <w:r w:rsidRPr="00A25AFA">
        <w:rPr>
          <w:bCs/>
        </w:rPr>
        <w:t>прахови</w:t>
      </w:r>
      <w:proofErr w:type="spellEnd"/>
      <w:r w:rsidRPr="00A25AFA">
        <w:rPr>
          <w:bCs/>
        </w:rPr>
        <w:t xml:space="preserve"> частици РМ10 или РМ2,5“. </w:t>
      </w:r>
    </w:p>
    <w:p w14:paraId="711CE427" w14:textId="20410C02" w:rsidR="00A25AFA" w:rsidRPr="00A25AFA" w:rsidRDefault="00A25AFA" w:rsidP="00A25AFA">
      <w:pPr>
        <w:widowControl w:val="0"/>
        <w:autoSpaceDE w:val="0"/>
        <w:autoSpaceDN w:val="0"/>
        <w:adjustRightInd w:val="0"/>
        <w:ind w:firstLine="480"/>
        <w:jc w:val="both"/>
        <w:rPr>
          <w:bCs/>
        </w:rPr>
      </w:pPr>
      <w:r w:rsidRPr="00A25AFA">
        <w:rPr>
          <w:bCs/>
        </w:rPr>
        <w:t>5. Метод за вземане на про</w:t>
      </w:r>
      <w:r w:rsidR="003E00C9">
        <w:rPr>
          <w:bCs/>
        </w:rPr>
        <w:t xml:space="preserve">би и измерване на съдържанието </w:t>
      </w:r>
      <w:r w:rsidRPr="00A25AFA">
        <w:rPr>
          <w:bCs/>
        </w:rPr>
        <w:t>на ФПЧ</w:t>
      </w:r>
      <w:r w:rsidRPr="003E00C9">
        <w:rPr>
          <w:bCs/>
          <w:vertAlign w:val="subscript"/>
        </w:rPr>
        <w:t>2,5</w:t>
      </w:r>
      <w:r w:rsidRPr="00A25AFA">
        <w:rPr>
          <w:bCs/>
        </w:rPr>
        <w:t xml:space="preserve"> </w:t>
      </w:r>
      <w:r w:rsidR="0025198C">
        <w:rPr>
          <w:bCs/>
        </w:rPr>
        <w:t>–</w:t>
      </w:r>
      <w:r w:rsidRPr="00A25AFA">
        <w:rPr>
          <w:bCs/>
        </w:rPr>
        <w:t xml:space="preserve"> БДС EN 12341:2014 „Атмосферен въздух. Стандартен </w:t>
      </w:r>
      <w:proofErr w:type="spellStart"/>
      <w:r w:rsidRPr="00A25AFA">
        <w:rPr>
          <w:bCs/>
        </w:rPr>
        <w:t>гравиметричен</w:t>
      </w:r>
      <w:proofErr w:type="spellEnd"/>
      <w:r w:rsidRPr="00A25AFA">
        <w:rPr>
          <w:bCs/>
        </w:rPr>
        <w:t xml:space="preserve"> метод за измерване за определяне на масовата концентрация на суспендирани </w:t>
      </w:r>
      <w:proofErr w:type="spellStart"/>
      <w:r w:rsidRPr="00A25AFA">
        <w:rPr>
          <w:bCs/>
        </w:rPr>
        <w:t>п</w:t>
      </w:r>
      <w:r>
        <w:rPr>
          <w:bCs/>
        </w:rPr>
        <w:t>рахови</w:t>
      </w:r>
      <w:proofErr w:type="spellEnd"/>
      <w:r>
        <w:rPr>
          <w:bCs/>
        </w:rPr>
        <w:t xml:space="preserve"> частици РМ10 или РМ2,5“.</w:t>
      </w:r>
    </w:p>
    <w:p w14:paraId="7C69A865" w14:textId="7A76796C" w:rsidR="00A25AFA" w:rsidRPr="00A25AFA" w:rsidRDefault="00A25AFA" w:rsidP="00A25AFA">
      <w:pPr>
        <w:widowControl w:val="0"/>
        <w:autoSpaceDE w:val="0"/>
        <w:autoSpaceDN w:val="0"/>
        <w:adjustRightInd w:val="0"/>
        <w:ind w:firstLine="480"/>
        <w:jc w:val="both"/>
        <w:rPr>
          <w:bCs/>
        </w:rPr>
      </w:pPr>
      <w:r w:rsidRPr="00A25AFA">
        <w:rPr>
          <w:bCs/>
        </w:rPr>
        <w:t xml:space="preserve">6. Метод за вземане на проби и измерване на съдържанието на </w:t>
      </w:r>
      <w:proofErr w:type="spellStart"/>
      <w:r w:rsidRPr="00A25AFA">
        <w:rPr>
          <w:bCs/>
        </w:rPr>
        <w:t>бензен</w:t>
      </w:r>
      <w:proofErr w:type="spellEnd"/>
      <w:r w:rsidRPr="00A25AFA">
        <w:rPr>
          <w:bCs/>
        </w:rPr>
        <w:t xml:space="preserve"> </w:t>
      </w:r>
      <w:r w:rsidR="0025198C">
        <w:rPr>
          <w:bCs/>
        </w:rPr>
        <w:t>–</w:t>
      </w:r>
      <w:r w:rsidRPr="00A25AFA">
        <w:rPr>
          <w:bCs/>
        </w:rPr>
        <w:t xml:space="preserve"> БДС EN 14662-1:2006 „Качество на атмосферния въздух. Стандартен метод за измерване на концентрациите на </w:t>
      </w:r>
      <w:proofErr w:type="spellStart"/>
      <w:r w:rsidRPr="00A25AFA">
        <w:rPr>
          <w:bCs/>
        </w:rPr>
        <w:t>бензен</w:t>
      </w:r>
      <w:proofErr w:type="spellEnd"/>
      <w:r w:rsidRPr="00A25AFA">
        <w:rPr>
          <w:bCs/>
        </w:rPr>
        <w:t xml:space="preserve">. Част 1: Вземане на проба с помпа, последвано от </w:t>
      </w:r>
      <w:proofErr w:type="spellStart"/>
      <w:r w:rsidRPr="00A25AFA">
        <w:rPr>
          <w:bCs/>
        </w:rPr>
        <w:t>термодесорбция</w:t>
      </w:r>
      <w:proofErr w:type="spellEnd"/>
      <w:r w:rsidRPr="00A25AFA">
        <w:rPr>
          <w:bCs/>
        </w:rPr>
        <w:t xml:space="preserve"> и </w:t>
      </w:r>
      <w:proofErr w:type="spellStart"/>
      <w:r w:rsidRPr="00A25AFA">
        <w:rPr>
          <w:bCs/>
        </w:rPr>
        <w:t>газхроматография</w:t>
      </w:r>
      <w:proofErr w:type="spellEnd"/>
      <w:r w:rsidRPr="00A25AFA">
        <w:rPr>
          <w:bCs/>
        </w:rPr>
        <w:t xml:space="preserve">“; БДС EN 14662-2:2006 „Качество на атмосферния въздух. Стандартен метод за измерване на концентрациите на </w:t>
      </w:r>
      <w:proofErr w:type="spellStart"/>
      <w:r w:rsidRPr="00A25AFA">
        <w:rPr>
          <w:bCs/>
        </w:rPr>
        <w:t>бензен</w:t>
      </w:r>
      <w:proofErr w:type="spellEnd"/>
      <w:r w:rsidRPr="00A25AFA">
        <w:rPr>
          <w:bCs/>
        </w:rPr>
        <w:t xml:space="preserve">. Част 2: Вземане на проба с помпа, последвано от </w:t>
      </w:r>
      <w:proofErr w:type="spellStart"/>
      <w:r w:rsidRPr="00A25AFA">
        <w:rPr>
          <w:bCs/>
        </w:rPr>
        <w:t>десорбция</w:t>
      </w:r>
      <w:proofErr w:type="spellEnd"/>
      <w:r w:rsidRPr="00A25AFA">
        <w:rPr>
          <w:bCs/>
        </w:rPr>
        <w:t xml:space="preserve"> с разтворител и </w:t>
      </w:r>
      <w:proofErr w:type="spellStart"/>
      <w:r w:rsidRPr="00A25AFA">
        <w:rPr>
          <w:bCs/>
        </w:rPr>
        <w:t>газхромат</w:t>
      </w:r>
      <w:r w:rsidR="00DE15BC">
        <w:rPr>
          <w:bCs/>
        </w:rPr>
        <w:t>ография</w:t>
      </w:r>
      <w:proofErr w:type="spellEnd"/>
      <w:r w:rsidR="00DE15BC">
        <w:rPr>
          <w:bCs/>
        </w:rPr>
        <w:t>“; БДС EN 14662-3:2015 „</w:t>
      </w:r>
      <w:proofErr w:type="spellStart"/>
      <w:r w:rsidRPr="00A25AFA">
        <w:rPr>
          <w:bCs/>
        </w:rPr>
        <w:t>Aтмосферен</w:t>
      </w:r>
      <w:proofErr w:type="spellEnd"/>
      <w:r w:rsidRPr="00A25AFA">
        <w:rPr>
          <w:bCs/>
        </w:rPr>
        <w:t xml:space="preserve"> въздух. Стандартен метод за измерване на концентрациите на </w:t>
      </w:r>
      <w:proofErr w:type="spellStart"/>
      <w:r w:rsidRPr="00A25AFA">
        <w:rPr>
          <w:bCs/>
        </w:rPr>
        <w:t>бензен</w:t>
      </w:r>
      <w:proofErr w:type="spellEnd"/>
      <w:r w:rsidRPr="00A25AFA">
        <w:rPr>
          <w:bCs/>
        </w:rPr>
        <w:t xml:space="preserve">. Част 3: Автоматично вземане на проби с изпомпване чрез </w:t>
      </w:r>
      <w:proofErr w:type="spellStart"/>
      <w:r w:rsidRPr="00A25AFA">
        <w:rPr>
          <w:bCs/>
        </w:rPr>
        <w:t>газхроматография</w:t>
      </w:r>
      <w:proofErr w:type="spellEnd"/>
      <w:r w:rsidRPr="00A25AFA">
        <w:rPr>
          <w:bCs/>
        </w:rPr>
        <w:t xml:space="preserve"> на място“.</w:t>
      </w:r>
    </w:p>
    <w:p w14:paraId="7C6E312F" w14:textId="2E1D1620" w:rsidR="00A25AFA" w:rsidRPr="00A25AFA" w:rsidRDefault="00A25AFA" w:rsidP="00A25AFA">
      <w:pPr>
        <w:widowControl w:val="0"/>
        <w:autoSpaceDE w:val="0"/>
        <w:autoSpaceDN w:val="0"/>
        <w:adjustRightInd w:val="0"/>
        <w:ind w:firstLine="480"/>
        <w:jc w:val="both"/>
        <w:rPr>
          <w:bCs/>
        </w:rPr>
      </w:pPr>
      <w:r w:rsidRPr="00A25AFA">
        <w:rPr>
          <w:bCs/>
        </w:rPr>
        <w:t xml:space="preserve">7. Метод за измерване на съдържанието на въглероден оксид </w:t>
      </w:r>
      <w:r w:rsidR="0025198C">
        <w:rPr>
          <w:bCs/>
        </w:rPr>
        <w:t>–</w:t>
      </w:r>
      <w:r w:rsidRPr="00A25AFA">
        <w:rPr>
          <w:bCs/>
        </w:rPr>
        <w:t xml:space="preserve"> БДС EN 14626:2012 „Качество на атмосферния въздух. Стандартен метод за измерване на концентрацията на въглероден </w:t>
      </w:r>
      <w:proofErr w:type="spellStart"/>
      <w:r w:rsidRPr="00A25AFA">
        <w:rPr>
          <w:bCs/>
        </w:rPr>
        <w:t>монооксид</w:t>
      </w:r>
      <w:proofErr w:type="spellEnd"/>
      <w:r w:rsidRPr="00A25AFA">
        <w:rPr>
          <w:bCs/>
        </w:rPr>
        <w:t xml:space="preserve"> с </w:t>
      </w:r>
      <w:proofErr w:type="spellStart"/>
      <w:r w:rsidRPr="00A25AFA">
        <w:rPr>
          <w:bCs/>
        </w:rPr>
        <w:t>недисперсионна</w:t>
      </w:r>
      <w:proofErr w:type="spellEnd"/>
      <w:r w:rsidRPr="00A25AFA">
        <w:rPr>
          <w:bCs/>
        </w:rPr>
        <w:t xml:space="preserve"> и</w:t>
      </w:r>
      <w:r>
        <w:rPr>
          <w:bCs/>
        </w:rPr>
        <w:t xml:space="preserve">нфрачервена спектроскопия“. </w:t>
      </w:r>
    </w:p>
    <w:p w14:paraId="2A61DA14" w14:textId="2CE6A710" w:rsidR="000456CE" w:rsidRDefault="00A25AFA" w:rsidP="00A25AFA">
      <w:pPr>
        <w:widowControl w:val="0"/>
        <w:autoSpaceDE w:val="0"/>
        <w:autoSpaceDN w:val="0"/>
        <w:adjustRightInd w:val="0"/>
        <w:ind w:firstLine="480"/>
        <w:jc w:val="both"/>
        <w:rPr>
          <w:bCs/>
        </w:rPr>
      </w:pPr>
      <w:r w:rsidRPr="00A25AFA">
        <w:rPr>
          <w:bCs/>
        </w:rPr>
        <w:t>8. Мет</w:t>
      </w:r>
      <w:r w:rsidR="00F7284A">
        <w:rPr>
          <w:bCs/>
        </w:rPr>
        <w:t>од за измерване на съдържанието</w:t>
      </w:r>
      <w:r w:rsidRPr="00A25AFA">
        <w:rPr>
          <w:bCs/>
        </w:rPr>
        <w:t xml:space="preserve"> на озон </w:t>
      </w:r>
      <w:r w:rsidR="0025198C">
        <w:rPr>
          <w:bCs/>
        </w:rPr>
        <w:t>–</w:t>
      </w:r>
      <w:r w:rsidRPr="00A25AFA">
        <w:rPr>
          <w:bCs/>
        </w:rPr>
        <w:t xml:space="preserve"> БДС ЕN 14625:2012 „Качество на атмосферния въздух. Стандартен метод за измерване концентрацията на озон</w:t>
      </w:r>
      <w:r>
        <w:rPr>
          <w:bCs/>
        </w:rPr>
        <w:t xml:space="preserve"> с ултравиолетова фотометрия“</w:t>
      </w:r>
      <w:r w:rsidRPr="00A25AFA">
        <w:rPr>
          <w:bCs/>
        </w:rPr>
        <w:t>.</w:t>
      </w:r>
    </w:p>
    <w:p w14:paraId="06F7EA71" w14:textId="77777777" w:rsidR="00C03E5A" w:rsidRPr="00C03E5A" w:rsidRDefault="00C03E5A" w:rsidP="00A25AFA">
      <w:pPr>
        <w:widowControl w:val="0"/>
        <w:autoSpaceDE w:val="0"/>
        <w:autoSpaceDN w:val="0"/>
        <w:adjustRightInd w:val="0"/>
        <w:ind w:firstLine="480"/>
        <w:jc w:val="both"/>
      </w:pPr>
      <w:r>
        <w:rPr>
          <w:bCs/>
        </w:rPr>
        <w:t xml:space="preserve">3. Раздел </w:t>
      </w:r>
      <w:r>
        <w:rPr>
          <w:bCs/>
          <w:lang w:val="en-US"/>
        </w:rPr>
        <w:t>IV</w:t>
      </w:r>
      <w:r w:rsidRPr="00B70552">
        <w:rPr>
          <w:bCs/>
          <w:lang w:val="ru-RU"/>
        </w:rPr>
        <w:t xml:space="preserve"> </w:t>
      </w:r>
      <w:r>
        <w:rPr>
          <w:bCs/>
        </w:rPr>
        <w:t>се изменя така:</w:t>
      </w:r>
    </w:p>
    <w:p w14:paraId="6FE994DD" w14:textId="77777777" w:rsidR="009762F3" w:rsidRPr="009762F3" w:rsidRDefault="009762F3" w:rsidP="009762F3">
      <w:pPr>
        <w:widowControl w:val="0"/>
        <w:autoSpaceDE w:val="0"/>
        <w:autoSpaceDN w:val="0"/>
        <w:adjustRightInd w:val="0"/>
        <w:ind w:firstLine="480"/>
        <w:jc w:val="both"/>
        <w:rPr>
          <w:lang w:val="x-none"/>
        </w:rPr>
      </w:pPr>
      <w:r>
        <w:t>„</w:t>
      </w:r>
      <w:r w:rsidRPr="009762F3">
        <w:rPr>
          <w:lang w:val="x-none"/>
        </w:rPr>
        <w:t>IV. Взаимно признаване на данни</w:t>
      </w:r>
    </w:p>
    <w:p w14:paraId="6F00DBBE" w14:textId="10B8A849" w:rsidR="009762F3" w:rsidRPr="009762F3" w:rsidRDefault="009762F3" w:rsidP="009762F3">
      <w:pPr>
        <w:widowControl w:val="0"/>
        <w:autoSpaceDE w:val="0"/>
        <w:autoSpaceDN w:val="0"/>
        <w:adjustRightInd w:val="0"/>
        <w:ind w:firstLine="480"/>
        <w:jc w:val="both"/>
      </w:pPr>
      <w:r w:rsidRPr="009762F3">
        <w:t>При доказване, че оборудването отговаря на фун</w:t>
      </w:r>
      <w:r w:rsidR="00383390">
        <w:t>к</w:t>
      </w:r>
      <w:r w:rsidRPr="009762F3">
        <w:t>ционалните изисквания на референтните методи</w:t>
      </w:r>
      <w:r w:rsidR="00305C41">
        <w:t>,</w:t>
      </w:r>
      <w:r w:rsidRPr="009762F3">
        <w:t xml:space="preserve"> посочени в раздел </w:t>
      </w:r>
      <w:r w:rsidRPr="009762F3">
        <w:rPr>
          <w:lang w:val="en-US"/>
        </w:rPr>
        <w:t>I</w:t>
      </w:r>
      <w:r w:rsidRPr="009762F3">
        <w:t xml:space="preserve">, </w:t>
      </w:r>
      <w:r w:rsidRPr="009762F3">
        <w:rPr>
          <w:color w:val="000000"/>
        </w:rPr>
        <w:t>националните референтни лаборатории към ИАОС</w:t>
      </w:r>
      <w:r w:rsidRPr="009762F3">
        <w:t xml:space="preserve"> приемат протоколи от изпитвания</w:t>
      </w:r>
      <w:r w:rsidR="0025198C">
        <w:t>,</w:t>
      </w:r>
      <w:r w:rsidRPr="009762F3">
        <w:t xml:space="preserve"> издадени от изпитвателни лаборатории в други </w:t>
      </w:r>
      <w:r w:rsidR="00305C41" w:rsidRPr="009762F3">
        <w:t>държави</w:t>
      </w:r>
      <w:r w:rsidR="00305C41">
        <w:t>-</w:t>
      </w:r>
      <w:r w:rsidRPr="009762F3">
        <w:t>членки, при условие, че тези лаборатории са акредитирани по съответния хармонизиран стандарт за лаборатории за изпитване и калибриране.</w:t>
      </w:r>
    </w:p>
    <w:p w14:paraId="0EFAF2CD" w14:textId="77777777" w:rsidR="009762F3" w:rsidRPr="009762F3" w:rsidRDefault="009762F3" w:rsidP="009762F3">
      <w:pPr>
        <w:widowControl w:val="0"/>
        <w:autoSpaceDE w:val="0"/>
        <w:autoSpaceDN w:val="0"/>
        <w:adjustRightInd w:val="0"/>
        <w:ind w:firstLine="480"/>
        <w:jc w:val="both"/>
      </w:pPr>
      <w:r w:rsidRPr="009762F3">
        <w:t xml:space="preserve">Подробните протоколи от изпитванията и всички резултати от изпитванията следва да са налични </w:t>
      </w:r>
      <w:r w:rsidR="005A2ABC">
        <w:t xml:space="preserve">в ИАОС </w:t>
      </w:r>
      <w:r w:rsidRPr="009762F3">
        <w:t xml:space="preserve">и да се предоставят и на други компетентни органи. Протоколите от изпитванията трябва да показват, че оборудването отговаря на всички функционални изисквания, включително когато някои условия на околната среда или на площадките за мониторинг са специфични за нашата страна и попадат извън обхвата на условията, за които съответното оборудване вече е изпитано и е получило одобрение на типа в друга </w:t>
      </w:r>
      <w:r w:rsidR="00305C41" w:rsidRPr="009762F3">
        <w:t>държава</w:t>
      </w:r>
      <w:r w:rsidR="00305C41">
        <w:t>-</w:t>
      </w:r>
      <w:r w:rsidRPr="009762F3">
        <w:t>членка.</w:t>
      </w:r>
      <w:r>
        <w:t>“</w:t>
      </w:r>
    </w:p>
    <w:p w14:paraId="4C414FCE" w14:textId="77777777" w:rsidR="004775D6" w:rsidRDefault="004775D6" w:rsidP="00DD0CBB">
      <w:pPr>
        <w:jc w:val="both"/>
        <w:rPr>
          <w:b/>
        </w:rPr>
      </w:pPr>
    </w:p>
    <w:p w14:paraId="009F678F" w14:textId="554E5919" w:rsidR="00574417" w:rsidRPr="006F7C31" w:rsidRDefault="0092401C" w:rsidP="005D0767">
      <w:pPr>
        <w:ind w:firstLine="426"/>
        <w:jc w:val="both"/>
      </w:pPr>
      <w:r w:rsidRPr="0092401C">
        <w:rPr>
          <w:b/>
        </w:rPr>
        <w:t xml:space="preserve">§ </w:t>
      </w:r>
      <w:r w:rsidR="00025B62">
        <w:rPr>
          <w:b/>
        </w:rPr>
        <w:t>11</w:t>
      </w:r>
      <w:r w:rsidRPr="0092401C">
        <w:rPr>
          <w:b/>
        </w:rPr>
        <w:t>.</w:t>
      </w:r>
      <w:r w:rsidR="00F94A00">
        <w:rPr>
          <w:b/>
        </w:rPr>
        <w:t xml:space="preserve"> </w:t>
      </w:r>
      <w:r w:rsidR="007C5169" w:rsidRPr="007C5169">
        <w:t xml:space="preserve">В </w:t>
      </w:r>
      <w:r w:rsidR="00814C1B">
        <w:t>Приложение № 13 към чл. 21</w:t>
      </w:r>
      <w:r w:rsidR="00867280">
        <w:t>,</w:t>
      </w:r>
      <w:r w:rsidR="00CB0D59">
        <w:t xml:space="preserve"> в раздел </w:t>
      </w:r>
      <w:r w:rsidR="00867280">
        <w:rPr>
          <w:lang w:val="en-US"/>
        </w:rPr>
        <w:t>I</w:t>
      </w:r>
      <w:r w:rsidR="00CB0D59" w:rsidRPr="00B70552">
        <w:rPr>
          <w:lang w:val="ru-RU"/>
        </w:rPr>
        <w:t xml:space="preserve"> </w:t>
      </w:r>
      <w:r w:rsidR="00CB0D59">
        <w:t>Таблица 21 се изменя така</w:t>
      </w:r>
      <w:r w:rsidR="00CB0D59" w:rsidRPr="006F7C31">
        <w:t>:</w:t>
      </w:r>
    </w:p>
    <w:p w14:paraId="7E5484A1" w14:textId="77777777" w:rsidR="006F7C31" w:rsidRPr="0083184D" w:rsidRDefault="006F7C31" w:rsidP="006F7C31">
      <w:pPr>
        <w:spacing w:before="120"/>
        <w:ind w:left="360"/>
        <w:jc w:val="right"/>
      </w:pPr>
      <w:r w:rsidRPr="0083184D">
        <w:t>Таблица 21</w:t>
      </w:r>
    </w:p>
    <w:tbl>
      <w:tblPr>
        <w:tblW w:w="4958" w:type="pct"/>
        <w:tblCellSpacing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607"/>
        <w:gridCol w:w="2374"/>
        <w:gridCol w:w="2374"/>
        <w:gridCol w:w="2670"/>
      </w:tblGrid>
      <w:tr w:rsidR="0068519D" w:rsidRPr="0083184D" w14:paraId="1A3512E0" w14:textId="77777777" w:rsidTr="00F27E53">
        <w:trPr>
          <w:tblCellSpacing w:w="0" w:type="dxa"/>
        </w:trPr>
        <w:tc>
          <w:tcPr>
            <w:tcW w:w="2491" w:type="dxa"/>
            <w:tcBorders>
              <w:top w:val="single" w:sz="6" w:space="0" w:color="000000"/>
              <w:left w:val="single" w:sz="6" w:space="0" w:color="000000"/>
              <w:bottom w:val="single" w:sz="6" w:space="0" w:color="000000"/>
              <w:right w:val="single" w:sz="6" w:space="0" w:color="000000"/>
            </w:tcBorders>
            <w:hideMark/>
          </w:tcPr>
          <w:p w14:paraId="0B7110B9" w14:textId="77777777" w:rsidR="006F7C31" w:rsidRPr="0083184D" w:rsidRDefault="006F7C31" w:rsidP="006F7C31">
            <w:pPr>
              <w:spacing w:before="60" w:after="60"/>
              <w:ind w:left="-65" w:right="-75"/>
              <w:jc w:val="center"/>
              <w:rPr>
                <w:b/>
                <w:bCs/>
              </w:rPr>
            </w:pPr>
            <w:r w:rsidRPr="0083184D">
              <w:rPr>
                <w:b/>
                <w:bCs/>
              </w:rPr>
              <w:t>Население (×1000)</w:t>
            </w:r>
          </w:p>
        </w:tc>
        <w:tc>
          <w:tcPr>
            <w:tcW w:w="2268" w:type="dxa"/>
            <w:tcBorders>
              <w:top w:val="single" w:sz="6" w:space="0" w:color="000000"/>
              <w:left w:val="single" w:sz="6" w:space="0" w:color="000000"/>
              <w:bottom w:val="single" w:sz="6" w:space="0" w:color="000000"/>
              <w:right w:val="single" w:sz="6" w:space="0" w:color="000000"/>
            </w:tcBorders>
            <w:hideMark/>
          </w:tcPr>
          <w:p w14:paraId="0B9B4E5F" w14:textId="77777777" w:rsidR="006F7C31" w:rsidRPr="0083184D" w:rsidRDefault="006F7C31" w:rsidP="006F7C31">
            <w:pPr>
              <w:spacing w:before="60" w:after="60"/>
              <w:jc w:val="center"/>
              <w:rPr>
                <w:b/>
                <w:bCs/>
              </w:rPr>
            </w:pPr>
            <w:r w:rsidRPr="0083184D">
              <w:rPr>
                <w:b/>
                <w:bCs/>
              </w:rPr>
              <w:t>Агломерации</w:t>
            </w:r>
            <w:hyperlink r:id="rId9" w:anchor="ntr1-L_2015226BG.01000901-E0001" w:history="1">
              <w:r w:rsidRPr="0083184D">
                <w:rPr>
                  <w:b/>
                  <w:bCs/>
                  <w:u w:val="single"/>
                </w:rPr>
                <w:t xml:space="preserve"> (</w:t>
              </w:r>
              <w:r w:rsidRPr="0083184D">
                <w:rPr>
                  <w:b/>
                  <w:bCs/>
                  <w:u w:val="single"/>
                  <w:vertAlign w:val="superscript"/>
                </w:rPr>
                <w:t>1</w:t>
              </w:r>
              <w:r w:rsidRPr="0083184D">
                <w:rPr>
                  <w:b/>
                  <w:bCs/>
                  <w:u w:val="single"/>
                </w:rPr>
                <w:t>)</w:t>
              </w:r>
            </w:hyperlink>
            <w:r w:rsidRPr="0083184D">
              <w:rPr>
                <w:b/>
                <w:bCs/>
              </w:rPr>
              <w:t xml:space="preserve"> </w:t>
            </w:r>
          </w:p>
        </w:tc>
        <w:tc>
          <w:tcPr>
            <w:tcW w:w="2268" w:type="dxa"/>
            <w:tcBorders>
              <w:top w:val="single" w:sz="6" w:space="0" w:color="000000"/>
              <w:left w:val="single" w:sz="6" w:space="0" w:color="000000"/>
              <w:bottom w:val="single" w:sz="6" w:space="0" w:color="000000"/>
              <w:right w:val="single" w:sz="6" w:space="0" w:color="000000"/>
            </w:tcBorders>
            <w:hideMark/>
          </w:tcPr>
          <w:p w14:paraId="601A38B9" w14:textId="77777777" w:rsidR="006F7C31" w:rsidRPr="0083184D" w:rsidRDefault="006F7C31" w:rsidP="006F7C31">
            <w:pPr>
              <w:spacing w:before="60" w:after="60"/>
              <w:jc w:val="center"/>
              <w:rPr>
                <w:b/>
                <w:bCs/>
              </w:rPr>
            </w:pPr>
            <w:r w:rsidRPr="0083184D">
              <w:rPr>
                <w:b/>
                <w:bCs/>
              </w:rPr>
              <w:t>Други райони</w:t>
            </w:r>
            <w:hyperlink r:id="rId10" w:anchor="ntr1-L_2015226BG.01000901-E0001" w:history="1">
              <w:r w:rsidRPr="0083184D">
                <w:rPr>
                  <w:b/>
                  <w:bCs/>
                  <w:u w:val="single"/>
                </w:rPr>
                <w:t xml:space="preserve"> (</w:t>
              </w:r>
              <w:r w:rsidRPr="0083184D">
                <w:rPr>
                  <w:b/>
                  <w:bCs/>
                  <w:u w:val="single"/>
                  <w:vertAlign w:val="superscript"/>
                </w:rPr>
                <w:t>1</w:t>
              </w:r>
              <w:r w:rsidRPr="0083184D">
                <w:rPr>
                  <w:b/>
                  <w:bCs/>
                  <w:u w:val="single"/>
                </w:rPr>
                <w:t>)</w:t>
              </w:r>
            </w:hyperlink>
            <w:r w:rsidRPr="0083184D">
              <w:rPr>
                <w:b/>
                <w:bCs/>
              </w:rPr>
              <w:t xml:space="preserve"> </w:t>
            </w:r>
          </w:p>
        </w:tc>
        <w:tc>
          <w:tcPr>
            <w:tcW w:w="2551" w:type="dxa"/>
            <w:tcBorders>
              <w:top w:val="single" w:sz="6" w:space="0" w:color="000000"/>
              <w:left w:val="single" w:sz="6" w:space="0" w:color="000000"/>
              <w:bottom w:val="single" w:sz="6" w:space="0" w:color="000000"/>
              <w:right w:val="single" w:sz="6" w:space="0" w:color="000000"/>
            </w:tcBorders>
            <w:hideMark/>
          </w:tcPr>
          <w:p w14:paraId="68FF0378" w14:textId="77777777" w:rsidR="006F7C31" w:rsidRPr="0083184D" w:rsidRDefault="006F7C31" w:rsidP="006F7C31">
            <w:pPr>
              <w:spacing w:before="60" w:after="60"/>
              <w:ind w:right="152"/>
              <w:jc w:val="center"/>
              <w:rPr>
                <w:b/>
                <w:bCs/>
              </w:rPr>
            </w:pPr>
            <w:r w:rsidRPr="0083184D">
              <w:rPr>
                <w:b/>
                <w:bCs/>
              </w:rPr>
              <w:t>Извънградски фон</w:t>
            </w:r>
          </w:p>
        </w:tc>
      </w:tr>
      <w:tr w:rsidR="0068519D" w:rsidRPr="0083184D" w14:paraId="7713AAE1" w14:textId="77777777" w:rsidTr="00F27E53">
        <w:trPr>
          <w:tblCellSpacing w:w="0" w:type="dxa"/>
        </w:trPr>
        <w:tc>
          <w:tcPr>
            <w:tcW w:w="2491" w:type="dxa"/>
            <w:tcBorders>
              <w:top w:val="single" w:sz="6" w:space="0" w:color="000000"/>
              <w:left w:val="single" w:sz="6" w:space="0" w:color="000000"/>
              <w:bottom w:val="single" w:sz="6" w:space="0" w:color="000000"/>
              <w:right w:val="single" w:sz="6" w:space="0" w:color="000000"/>
            </w:tcBorders>
            <w:hideMark/>
          </w:tcPr>
          <w:p w14:paraId="0121CDA8" w14:textId="77777777" w:rsidR="006F7C31" w:rsidRPr="0083184D" w:rsidRDefault="006F7C31" w:rsidP="006F7C31">
            <w:pPr>
              <w:spacing w:before="60" w:after="60"/>
              <w:jc w:val="center"/>
            </w:pPr>
            <w:r w:rsidRPr="0083184D">
              <w:lastRenderedPageBreak/>
              <w:t>&lt;250</w:t>
            </w:r>
          </w:p>
        </w:tc>
        <w:tc>
          <w:tcPr>
            <w:tcW w:w="2268" w:type="dxa"/>
            <w:tcBorders>
              <w:top w:val="single" w:sz="6" w:space="0" w:color="000000"/>
              <w:left w:val="single" w:sz="6" w:space="0" w:color="000000"/>
              <w:bottom w:val="single" w:sz="6" w:space="0" w:color="000000"/>
              <w:right w:val="single" w:sz="6" w:space="0" w:color="000000"/>
            </w:tcBorders>
            <w:hideMark/>
          </w:tcPr>
          <w:p w14:paraId="08DB54F1" w14:textId="77777777" w:rsidR="006F7C31" w:rsidRPr="0083184D" w:rsidRDefault="006F7C31" w:rsidP="006F7C31">
            <w:pPr>
              <w:spacing w:before="120"/>
              <w:jc w:val="center"/>
            </w:pPr>
          </w:p>
        </w:tc>
        <w:tc>
          <w:tcPr>
            <w:tcW w:w="2268" w:type="dxa"/>
            <w:tcBorders>
              <w:top w:val="single" w:sz="6" w:space="0" w:color="000000"/>
              <w:left w:val="single" w:sz="6" w:space="0" w:color="000000"/>
              <w:bottom w:val="single" w:sz="6" w:space="0" w:color="000000"/>
              <w:right w:val="single" w:sz="6" w:space="0" w:color="000000"/>
            </w:tcBorders>
            <w:hideMark/>
          </w:tcPr>
          <w:p w14:paraId="615649C9" w14:textId="77777777" w:rsidR="006F7C31" w:rsidRPr="0083184D" w:rsidRDefault="006F7C31" w:rsidP="006F7C31">
            <w:pPr>
              <w:spacing w:before="60" w:after="60"/>
              <w:jc w:val="center"/>
            </w:pPr>
            <w:r w:rsidRPr="0083184D">
              <w:t>1</w:t>
            </w:r>
          </w:p>
        </w:tc>
        <w:tc>
          <w:tcPr>
            <w:tcW w:w="2551" w:type="dxa"/>
            <w:vMerge w:val="restart"/>
            <w:tcBorders>
              <w:top w:val="single" w:sz="6" w:space="0" w:color="000000"/>
              <w:left w:val="single" w:sz="6" w:space="0" w:color="000000"/>
              <w:bottom w:val="single" w:sz="6" w:space="0" w:color="000000"/>
              <w:right w:val="single" w:sz="6" w:space="0" w:color="000000"/>
            </w:tcBorders>
            <w:hideMark/>
          </w:tcPr>
          <w:p w14:paraId="46599E1D" w14:textId="77777777" w:rsidR="006F7C31" w:rsidRPr="0083184D" w:rsidRDefault="006F7C31" w:rsidP="006F7C31">
            <w:pPr>
              <w:spacing w:before="60" w:after="60"/>
              <w:ind w:right="152"/>
              <w:jc w:val="center"/>
            </w:pPr>
            <w:r w:rsidRPr="0083184D">
              <w:t>1 ПМ/50 000 km</w:t>
            </w:r>
            <w:r w:rsidRPr="0083184D">
              <w:rPr>
                <w:vertAlign w:val="superscript"/>
              </w:rPr>
              <w:t>2</w:t>
            </w:r>
            <w:r w:rsidRPr="0083184D">
              <w:t xml:space="preserve"> средна плътност за всички райони в дадена страна</w:t>
            </w:r>
            <w:hyperlink r:id="rId11" w:anchor="ntr2-L_2015226BG.01000901-E0002" w:history="1">
              <w:r w:rsidRPr="0083184D">
                <w:rPr>
                  <w:u w:val="single"/>
                </w:rPr>
                <w:t>(</w:t>
              </w:r>
              <w:r w:rsidRPr="0083184D">
                <w:rPr>
                  <w:u w:val="single"/>
                  <w:vertAlign w:val="superscript"/>
                </w:rPr>
                <w:t>2</w:t>
              </w:r>
              <w:r w:rsidRPr="0083184D">
                <w:rPr>
                  <w:u w:val="single"/>
                </w:rPr>
                <w:t>)</w:t>
              </w:r>
            </w:hyperlink>
          </w:p>
        </w:tc>
      </w:tr>
      <w:tr w:rsidR="0068519D" w:rsidRPr="0083184D" w14:paraId="4D9D63F9" w14:textId="77777777" w:rsidTr="00F27E53">
        <w:trPr>
          <w:tblCellSpacing w:w="0" w:type="dxa"/>
        </w:trPr>
        <w:tc>
          <w:tcPr>
            <w:tcW w:w="2491" w:type="dxa"/>
            <w:tcBorders>
              <w:top w:val="single" w:sz="6" w:space="0" w:color="000000"/>
              <w:left w:val="single" w:sz="6" w:space="0" w:color="000000"/>
              <w:bottom w:val="single" w:sz="6" w:space="0" w:color="000000"/>
              <w:right w:val="single" w:sz="6" w:space="0" w:color="000000"/>
            </w:tcBorders>
            <w:hideMark/>
          </w:tcPr>
          <w:p w14:paraId="488F6C9A" w14:textId="77777777" w:rsidR="006F7C31" w:rsidRPr="0083184D" w:rsidRDefault="006F7C31" w:rsidP="006F7C31">
            <w:pPr>
              <w:spacing w:before="60" w:after="60"/>
              <w:jc w:val="center"/>
            </w:pPr>
            <w:r w:rsidRPr="0083184D">
              <w:t>&lt;500</w:t>
            </w:r>
          </w:p>
        </w:tc>
        <w:tc>
          <w:tcPr>
            <w:tcW w:w="2268" w:type="dxa"/>
            <w:tcBorders>
              <w:top w:val="single" w:sz="6" w:space="0" w:color="000000"/>
              <w:left w:val="single" w:sz="6" w:space="0" w:color="000000"/>
              <w:bottom w:val="single" w:sz="6" w:space="0" w:color="000000"/>
              <w:right w:val="single" w:sz="6" w:space="0" w:color="000000"/>
            </w:tcBorders>
            <w:hideMark/>
          </w:tcPr>
          <w:p w14:paraId="41463B51" w14:textId="77777777" w:rsidR="006F7C31" w:rsidRPr="0083184D" w:rsidRDefault="006F7C31" w:rsidP="006F7C31">
            <w:pPr>
              <w:spacing w:before="60" w:after="60"/>
              <w:jc w:val="center"/>
            </w:pPr>
            <w:r w:rsidRPr="0083184D">
              <w:t>1</w:t>
            </w:r>
          </w:p>
        </w:tc>
        <w:tc>
          <w:tcPr>
            <w:tcW w:w="2268" w:type="dxa"/>
            <w:tcBorders>
              <w:top w:val="single" w:sz="6" w:space="0" w:color="000000"/>
              <w:left w:val="single" w:sz="6" w:space="0" w:color="000000"/>
              <w:bottom w:val="single" w:sz="6" w:space="0" w:color="000000"/>
              <w:right w:val="single" w:sz="6" w:space="0" w:color="000000"/>
            </w:tcBorders>
            <w:hideMark/>
          </w:tcPr>
          <w:p w14:paraId="3E5E776E" w14:textId="77777777" w:rsidR="006F7C31" w:rsidRPr="0083184D" w:rsidRDefault="006F7C31" w:rsidP="006F7C31">
            <w:pPr>
              <w:spacing w:before="60" w:after="60"/>
              <w:jc w:val="center"/>
            </w:pPr>
            <w:r w:rsidRPr="0083184D">
              <w:t>2</w:t>
            </w: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14:paraId="49188B1B" w14:textId="77777777" w:rsidR="006F7C31" w:rsidRPr="0083184D" w:rsidRDefault="006F7C31" w:rsidP="006F7C31"/>
        </w:tc>
      </w:tr>
      <w:tr w:rsidR="0068519D" w:rsidRPr="0083184D" w14:paraId="513A9079" w14:textId="77777777" w:rsidTr="00F27E53">
        <w:trPr>
          <w:tblCellSpacing w:w="0" w:type="dxa"/>
        </w:trPr>
        <w:tc>
          <w:tcPr>
            <w:tcW w:w="2491" w:type="dxa"/>
            <w:tcBorders>
              <w:top w:val="single" w:sz="6" w:space="0" w:color="000000"/>
              <w:left w:val="single" w:sz="6" w:space="0" w:color="000000"/>
              <w:bottom w:val="single" w:sz="6" w:space="0" w:color="000000"/>
              <w:right w:val="single" w:sz="6" w:space="0" w:color="000000"/>
            </w:tcBorders>
            <w:hideMark/>
          </w:tcPr>
          <w:p w14:paraId="2A112724" w14:textId="77777777" w:rsidR="006F7C31" w:rsidRPr="0083184D" w:rsidRDefault="006F7C31" w:rsidP="006F7C31">
            <w:pPr>
              <w:spacing w:before="60" w:after="60"/>
              <w:ind w:right="195"/>
              <w:jc w:val="center"/>
            </w:pPr>
            <w:r w:rsidRPr="0083184D">
              <w:t>&lt;1 000</w:t>
            </w:r>
          </w:p>
        </w:tc>
        <w:tc>
          <w:tcPr>
            <w:tcW w:w="2268" w:type="dxa"/>
            <w:tcBorders>
              <w:top w:val="single" w:sz="6" w:space="0" w:color="000000"/>
              <w:left w:val="single" w:sz="6" w:space="0" w:color="000000"/>
              <w:bottom w:val="single" w:sz="6" w:space="0" w:color="000000"/>
              <w:right w:val="single" w:sz="6" w:space="0" w:color="000000"/>
            </w:tcBorders>
            <w:hideMark/>
          </w:tcPr>
          <w:p w14:paraId="6F176831" w14:textId="77777777" w:rsidR="006F7C31" w:rsidRPr="0083184D" w:rsidRDefault="006F7C31" w:rsidP="006F7C31">
            <w:pPr>
              <w:spacing w:before="60" w:after="60"/>
              <w:jc w:val="center"/>
            </w:pPr>
            <w:r w:rsidRPr="0083184D">
              <w:t>2</w:t>
            </w:r>
          </w:p>
        </w:tc>
        <w:tc>
          <w:tcPr>
            <w:tcW w:w="2268" w:type="dxa"/>
            <w:tcBorders>
              <w:top w:val="single" w:sz="6" w:space="0" w:color="000000"/>
              <w:left w:val="single" w:sz="6" w:space="0" w:color="000000"/>
              <w:bottom w:val="single" w:sz="6" w:space="0" w:color="000000"/>
              <w:right w:val="single" w:sz="6" w:space="0" w:color="000000"/>
            </w:tcBorders>
            <w:hideMark/>
          </w:tcPr>
          <w:p w14:paraId="70051104" w14:textId="77777777" w:rsidR="006F7C31" w:rsidRPr="0083184D" w:rsidRDefault="006F7C31" w:rsidP="006F7C31">
            <w:pPr>
              <w:spacing w:before="60" w:after="60"/>
              <w:jc w:val="center"/>
            </w:pPr>
            <w:r w:rsidRPr="0083184D">
              <w:t>2</w:t>
            </w: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14:paraId="0D6AB1FB" w14:textId="77777777" w:rsidR="006F7C31" w:rsidRPr="0083184D" w:rsidRDefault="006F7C31" w:rsidP="006F7C31"/>
        </w:tc>
      </w:tr>
      <w:tr w:rsidR="0068519D" w:rsidRPr="0083184D" w14:paraId="67F81264" w14:textId="77777777" w:rsidTr="00F27E53">
        <w:trPr>
          <w:tblCellSpacing w:w="0" w:type="dxa"/>
        </w:trPr>
        <w:tc>
          <w:tcPr>
            <w:tcW w:w="2491" w:type="dxa"/>
            <w:tcBorders>
              <w:top w:val="single" w:sz="6" w:space="0" w:color="000000"/>
              <w:left w:val="single" w:sz="6" w:space="0" w:color="000000"/>
              <w:bottom w:val="single" w:sz="6" w:space="0" w:color="000000"/>
              <w:right w:val="single" w:sz="6" w:space="0" w:color="000000"/>
            </w:tcBorders>
            <w:hideMark/>
          </w:tcPr>
          <w:p w14:paraId="4EC544D4" w14:textId="77777777" w:rsidR="006F7C31" w:rsidRPr="0083184D" w:rsidRDefault="006F7C31" w:rsidP="006F7C31">
            <w:pPr>
              <w:spacing w:before="60" w:after="60"/>
              <w:ind w:right="195"/>
              <w:jc w:val="center"/>
            </w:pPr>
            <w:r w:rsidRPr="0083184D">
              <w:t>&lt;1 500</w:t>
            </w:r>
          </w:p>
        </w:tc>
        <w:tc>
          <w:tcPr>
            <w:tcW w:w="2268" w:type="dxa"/>
            <w:tcBorders>
              <w:top w:val="single" w:sz="6" w:space="0" w:color="000000"/>
              <w:left w:val="single" w:sz="6" w:space="0" w:color="000000"/>
              <w:bottom w:val="single" w:sz="6" w:space="0" w:color="000000"/>
              <w:right w:val="single" w:sz="6" w:space="0" w:color="000000"/>
            </w:tcBorders>
            <w:hideMark/>
          </w:tcPr>
          <w:p w14:paraId="00EE4ED0" w14:textId="77777777" w:rsidR="006F7C31" w:rsidRPr="0083184D" w:rsidRDefault="006F7C31" w:rsidP="006F7C31">
            <w:pPr>
              <w:spacing w:before="60" w:after="60"/>
              <w:jc w:val="center"/>
            </w:pPr>
            <w:r w:rsidRPr="0083184D">
              <w:t>3</w:t>
            </w:r>
          </w:p>
        </w:tc>
        <w:tc>
          <w:tcPr>
            <w:tcW w:w="2268" w:type="dxa"/>
            <w:tcBorders>
              <w:top w:val="single" w:sz="6" w:space="0" w:color="000000"/>
              <w:left w:val="single" w:sz="6" w:space="0" w:color="000000"/>
              <w:bottom w:val="single" w:sz="6" w:space="0" w:color="000000"/>
              <w:right w:val="single" w:sz="6" w:space="0" w:color="000000"/>
            </w:tcBorders>
            <w:hideMark/>
          </w:tcPr>
          <w:p w14:paraId="51523437" w14:textId="77777777" w:rsidR="006F7C31" w:rsidRPr="0083184D" w:rsidRDefault="006F7C31" w:rsidP="006F7C31">
            <w:pPr>
              <w:spacing w:before="60" w:after="60"/>
              <w:jc w:val="center"/>
            </w:pPr>
            <w:r w:rsidRPr="0083184D">
              <w:t>3</w:t>
            </w: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14:paraId="59A9F3BA" w14:textId="77777777" w:rsidR="006F7C31" w:rsidRPr="0083184D" w:rsidRDefault="006F7C31" w:rsidP="006F7C31"/>
        </w:tc>
      </w:tr>
      <w:tr w:rsidR="0068519D" w:rsidRPr="0083184D" w14:paraId="0E7E2BD6" w14:textId="77777777" w:rsidTr="00F27E53">
        <w:trPr>
          <w:tblCellSpacing w:w="0" w:type="dxa"/>
        </w:trPr>
        <w:tc>
          <w:tcPr>
            <w:tcW w:w="2491" w:type="dxa"/>
            <w:tcBorders>
              <w:top w:val="single" w:sz="6" w:space="0" w:color="000000"/>
              <w:left w:val="single" w:sz="6" w:space="0" w:color="000000"/>
              <w:bottom w:val="single" w:sz="6" w:space="0" w:color="000000"/>
              <w:right w:val="single" w:sz="6" w:space="0" w:color="000000"/>
            </w:tcBorders>
            <w:hideMark/>
          </w:tcPr>
          <w:p w14:paraId="32E66EC7" w14:textId="77777777" w:rsidR="006F7C31" w:rsidRPr="0083184D" w:rsidRDefault="006F7C31" w:rsidP="006F7C31">
            <w:pPr>
              <w:spacing w:before="60" w:after="60"/>
              <w:ind w:right="195"/>
              <w:jc w:val="center"/>
            </w:pPr>
            <w:r w:rsidRPr="0083184D">
              <w:t>&lt;2 000</w:t>
            </w:r>
          </w:p>
        </w:tc>
        <w:tc>
          <w:tcPr>
            <w:tcW w:w="2268" w:type="dxa"/>
            <w:tcBorders>
              <w:top w:val="single" w:sz="6" w:space="0" w:color="000000"/>
              <w:left w:val="single" w:sz="6" w:space="0" w:color="000000"/>
              <w:bottom w:val="single" w:sz="6" w:space="0" w:color="000000"/>
              <w:right w:val="single" w:sz="6" w:space="0" w:color="000000"/>
            </w:tcBorders>
            <w:hideMark/>
          </w:tcPr>
          <w:p w14:paraId="4D34AA13" w14:textId="77777777" w:rsidR="006F7C31" w:rsidRPr="0083184D" w:rsidRDefault="006F7C31" w:rsidP="006F7C31">
            <w:pPr>
              <w:spacing w:before="60" w:after="60"/>
              <w:jc w:val="center"/>
            </w:pPr>
            <w:r w:rsidRPr="0083184D">
              <w:t>3</w:t>
            </w:r>
          </w:p>
        </w:tc>
        <w:tc>
          <w:tcPr>
            <w:tcW w:w="2268" w:type="dxa"/>
            <w:tcBorders>
              <w:top w:val="single" w:sz="6" w:space="0" w:color="000000"/>
              <w:left w:val="single" w:sz="6" w:space="0" w:color="000000"/>
              <w:bottom w:val="single" w:sz="6" w:space="0" w:color="000000"/>
              <w:right w:val="single" w:sz="6" w:space="0" w:color="000000"/>
            </w:tcBorders>
            <w:hideMark/>
          </w:tcPr>
          <w:p w14:paraId="786D7650" w14:textId="77777777" w:rsidR="006F7C31" w:rsidRPr="0083184D" w:rsidRDefault="006F7C31" w:rsidP="006F7C31">
            <w:pPr>
              <w:spacing w:before="60" w:after="60"/>
              <w:jc w:val="center"/>
            </w:pPr>
            <w:r w:rsidRPr="0083184D">
              <w:t>4</w:t>
            </w: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14:paraId="1A60CBFB" w14:textId="77777777" w:rsidR="006F7C31" w:rsidRPr="0083184D" w:rsidRDefault="006F7C31" w:rsidP="006F7C31"/>
        </w:tc>
      </w:tr>
      <w:tr w:rsidR="0068519D" w:rsidRPr="0083184D" w14:paraId="3FA0D549" w14:textId="77777777" w:rsidTr="00F27E53">
        <w:trPr>
          <w:tblCellSpacing w:w="0" w:type="dxa"/>
        </w:trPr>
        <w:tc>
          <w:tcPr>
            <w:tcW w:w="2491" w:type="dxa"/>
            <w:tcBorders>
              <w:top w:val="single" w:sz="6" w:space="0" w:color="000000"/>
              <w:left w:val="single" w:sz="6" w:space="0" w:color="000000"/>
              <w:bottom w:val="single" w:sz="6" w:space="0" w:color="000000"/>
              <w:right w:val="single" w:sz="6" w:space="0" w:color="000000"/>
            </w:tcBorders>
            <w:hideMark/>
          </w:tcPr>
          <w:p w14:paraId="19646771" w14:textId="77777777" w:rsidR="006F7C31" w:rsidRPr="0083184D" w:rsidRDefault="006F7C31" w:rsidP="006F7C31">
            <w:pPr>
              <w:spacing w:before="60" w:after="60"/>
              <w:ind w:right="195"/>
              <w:jc w:val="center"/>
            </w:pPr>
            <w:r w:rsidRPr="0083184D">
              <w:t>&lt;2 750</w:t>
            </w:r>
          </w:p>
        </w:tc>
        <w:tc>
          <w:tcPr>
            <w:tcW w:w="2268" w:type="dxa"/>
            <w:tcBorders>
              <w:top w:val="single" w:sz="6" w:space="0" w:color="000000"/>
              <w:left w:val="single" w:sz="6" w:space="0" w:color="000000"/>
              <w:bottom w:val="single" w:sz="6" w:space="0" w:color="000000"/>
              <w:right w:val="single" w:sz="6" w:space="0" w:color="000000"/>
            </w:tcBorders>
            <w:hideMark/>
          </w:tcPr>
          <w:p w14:paraId="3BE12475" w14:textId="77777777" w:rsidR="006F7C31" w:rsidRPr="0083184D" w:rsidRDefault="006F7C31" w:rsidP="006F7C31">
            <w:pPr>
              <w:spacing w:before="60" w:after="60"/>
              <w:jc w:val="center"/>
            </w:pPr>
            <w:r w:rsidRPr="0083184D">
              <w:t>4</w:t>
            </w:r>
          </w:p>
        </w:tc>
        <w:tc>
          <w:tcPr>
            <w:tcW w:w="2268" w:type="dxa"/>
            <w:tcBorders>
              <w:top w:val="single" w:sz="6" w:space="0" w:color="000000"/>
              <w:left w:val="single" w:sz="6" w:space="0" w:color="000000"/>
              <w:bottom w:val="single" w:sz="6" w:space="0" w:color="000000"/>
              <w:right w:val="single" w:sz="6" w:space="0" w:color="000000"/>
            </w:tcBorders>
            <w:hideMark/>
          </w:tcPr>
          <w:p w14:paraId="47405E24" w14:textId="77777777" w:rsidR="006F7C31" w:rsidRPr="0083184D" w:rsidRDefault="006F7C31" w:rsidP="006F7C31">
            <w:pPr>
              <w:spacing w:before="60" w:after="60"/>
              <w:jc w:val="center"/>
            </w:pPr>
            <w:r w:rsidRPr="0083184D">
              <w:t>5</w:t>
            </w: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14:paraId="0B68696B" w14:textId="77777777" w:rsidR="006F7C31" w:rsidRPr="0083184D" w:rsidRDefault="006F7C31" w:rsidP="006F7C31"/>
        </w:tc>
      </w:tr>
      <w:tr w:rsidR="0068519D" w:rsidRPr="0083184D" w14:paraId="25F7DC77" w14:textId="77777777" w:rsidTr="00F27E53">
        <w:trPr>
          <w:tblCellSpacing w:w="0" w:type="dxa"/>
        </w:trPr>
        <w:tc>
          <w:tcPr>
            <w:tcW w:w="2491" w:type="dxa"/>
            <w:tcBorders>
              <w:top w:val="single" w:sz="6" w:space="0" w:color="000000"/>
              <w:left w:val="single" w:sz="6" w:space="0" w:color="000000"/>
              <w:bottom w:val="single" w:sz="6" w:space="0" w:color="000000"/>
              <w:right w:val="single" w:sz="6" w:space="0" w:color="000000"/>
            </w:tcBorders>
            <w:hideMark/>
          </w:tcPr>
          <w:p w14:paraId="182319D4" w14:textId="77777777" w:rsidR="006F7C31" w:rsidRPr="0083184D" w:rsidRDefault="006F7C31" w:rsidP="006F7C31">
            <w:pPr>
              <w:spacing w:before="60" w:after="60"/>
              <w:ind w:right="195"/>
              <w:jc w:val="center"/>
            </w:pPr>
            <w:r w:rsidRPr="0083184D">
              <w:t>&lt;3 750</w:t>
            </w:r>
          </w:p>
        </w:tc>
        <w:tc>
          <w:tcPr>
            <w:tcW w:w="2268" w:type="dxa"/>
            <w:tcBorders>
              <w:top w:val="single" w:sz="6" w:space="0" w:color="000000"/>
              <w:left w:val="single" w:sz="6" w:space="0" w:color="000000"/>
              <w:bottom w:val="single" w:sz="6" w:space="0" w:color="000000"/>
              <w:right w:val="single" w:sz="6" w:space="0" w:color="000000"/>
            </w:tcBorders>
            <w:hideMark/>
          </w:tcPr>
          <w:p w14:paraId="15A2985C" w14:textId="77777777" w:rsidR="006F7C31" w:rsidRPr="0083184D" w:rsidRDefault="006F7C31" w:rsidP="006F7C31">
            <w:pPr>
              <w:spacing w:before="60" w:after="60"/>
              <w:jc w:val="center"/>
            </w:pPr>
            <w:r w:rsidRPr="0083184D">
              <w:t>5</w:t>
            </w:r>
          </w:p>
        </w:tc>
        <w:tc>
          <w:tcPr>
            <w:tcW w:w="2268" w:type="dxa"/>
            <w:tcBorders>
              <w:top w:val="single" w:sz="6" w:space="0" w:color="000000"/>
              <w:left w:val="single" w:sz="6" w:space="0" w:color="000000"/>
              <w:bottom w:val="single" w:sz="6" w:space="0" w:color="000000"/>
              <w:right w:val="single" w:sz="6" w:space="0" w:color="000000"/>
            </w:tcBorders>
            <w:hideMark/>
          </w:tcPr>
          <w:p w14:paraId="19BBB9B2" w14:textId="77777777" w:rsidR="006F7C31" w:rsidRPr="0083184D" w:rsidRDefault="006F7C31" w:rsidP="006F7C31">
            <w:pPr>
              <w:spacing w:before="60" w:after="60"/>
              <w:jc w:val="center"/>
            </w:pPr>
            <w:r w:rsidRPr="0083184D">
              <w:t>6</w:t>
            </w: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14:paraId="51CFA4F3" w14:textId="77777777" w:rsidR="006F7C31" w:rsidRPr="0083184D" w:rsidRDefault="006F7C31" w:rsidP="006F7C31"/>
        </w:tc>
      </w:tr>
      <w:tr w:rsidR="0068519D" w:rsidRPr="0083184D" w14:paraId="7019F92A" w14:textId="77777777" w:rsidTr="00F27E53">
        <w:trPr>
          <w:tblCellSpacing w:w="0" w:type="dxa"/>
        </w:trPr>
        <w:tc>
          <w:tcPr>
            <w:tcW w:w="2491" w:type="dxa"/>
            <w:tcBorders>
              <w:top w:val="single" w:sz="6" w:space="0" w:color="000000"/>
              <w:left w:val="single" w:sz="6" w:space="0" w:color="000000"/>
              <w:bottom w:val="single" w:sz="6" w:space="0" w:color="000000"/>
              <w:right w:val="single" w:sz="6" w:space="0" w:color="000000"/>
            </w:tcBorders>
            <w:hideMark/>
          </w:tcPr>
          <w:p w14:paraId="30D18112" w14:textId="77777777" w:rsidR="006F7C31" w:rsidRPr="0083184D" w:rsidRDefault="006F7C31" w:rsidP="006F7C31">
            <w:pPr>
              <w:spacing w:before="60" w:after="60"/>
              <w:ind w:right="195"/>
              <w:jc w:val="center"/>
            </w:pPr>
            <w:r w:rsidRPr="0083184D">
              <w:t>&gt;3 750</w:t>
            </w:r>
          </w:p>
        </w:tc>
        <w:tc>
          <w:tcPr>
            <w:tcW w:w="2268" w:type="dxa"/>
            <w:tcBorders>
              <w:top w:val="single" w:sz="6" w:space="0" w:color="000000"/>
              <w:left w:val="single" w:sz="6" w:space="0" w:color="000000"/>
              <w:bottom w:val="single" w:sz="6" w:space="0" w:color="000000"/>
              <w:right w:val="single" w:sz="6" w:space="0" w:color="000000"/>
            </w:tcBorders>
            <w:hideMark/>
          </w:tcPr>
          <w:p w14:paraId="70516016" w14:textId="77777777" w:rsidR="006F7C31" w:rsidRPr="0083184D" w:rsidRDefault="006F7C31" w:rsidP="006F7C31">
            <w:pPr>
              <w:spacing w:before="60" w:after="60"/>
              <w:jc w:val="center"/>
            </w:pPr>
            <w:r w:rsidRPr="0083184D">
              <w:t>Един допълнителен ПМ на 2 милиона жители</w:t>
            </w:r>
          </w:p>
        </w:tc>
        <w:tc>
          <w:tcPr>
            <w:tcW w:w="2268" w:type="dxa"/>
            <w:tcBorders>
              <w:top w:val="single" w:sz="6" w:space="0" w:color="000000"/>
              <w:left w:val="single" w:sz="6" w:space="0" w:color="000000"/>
              <w:bottom w:val="single" w:sz="6" w:space="0" w:color="000000"/>
              <w:right w:val="single" w:sz="6" w:space="0" w:color="000000"/>
            </w:tcBorders>
            <w:hideMark/>
          </w:tcPr>
          <w:p w14:paraId="7CE00FF1" w14:textId="77777777" w:rsidR="006F7C31" w:rsidRPr="0083184D" w:rsidRDefault="006F7C31" w:rsidP="006F7C31">
            <w:pPr>
              <w:spacing w:before="60" w:after="60"/>
              <w:jc w:val="center"/>
            </w:pPr>
            <w:r w:rsidRPr="0083184D">
              <w:t>Един допълнителен ПМ на 2 милиона жители</w:t>
            </w: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14:paraId="3AD09CBE" w14:textId="77777777" w:rsidR="006F7C31" w:rsidRPr="0083184D" w:rsidRDefault="006F7C31" w:rsidP="006F7C31"/>
        </w:tc>
      </w:tr>
    </w:tbl>
    <w:p w14:paraId="2F78BFCA" w14:textId="77777777" w:rsidR="006F7C31" w:rsidRPr="0083184D" w:rsidRDefault="00764CD8" w:rsidP="006F7C31">
      <w:pPr>
        <w:spacing w:before="60" w:after="60"/>
        <w:jc w:val="both"/>
      </w:pPr>
      <w:hyperlink r:id="rId12" w:anchor="ntc1-L_2015226BG.01000901-E0001" w:history="1">
        <w:r w:rsidR="006F7C31" w:rsidRPr="0083184D">
          <w:rPr>
            <w:u w:val="single"/>
          </w:rPr>
          <w:t>(</w:t>
        </w:r>
        <w:r w:rsidR="006F7C31" w:rsidRPr="0083184D">
          <w:rPr>
            <w:u w:val="single"/>
            <w:vertAlign w:val="superscript"/>
          </w:rPr>
          <w:t>1</w:t>
        </w:r>
        <w:r w:rsidR="006F7C31" w:rsidRPr="0083184D">
          <w:rPr>
            <w:u w:val="single"/>
          </w:rPr>
          <w:t>)</w:t>
        </w:r>
      </w:hyperlink>
      <w:r w:rsidR="006F7C31" w:rsidRPr="0083184D">
        <w:t xml:space="preserve"> Най-малко 1 ПМ в райони, където е вероятно да възникнат най-високи концентрации на озон. В агломерациите най-малко 50 % от ПМ се разполагат в крайградски райони.</w:t>
      </w:r>
    </w:p>
    <w:p w14:paraId="466261DA" w14:textId="77777777" w:rsidR="006F7C31" w:rsidRPr="0083184D" w:rsidRDefault="00764CD8" w:rsidP="006F7C31">
      <w:pPr>
        <w:widowControl w:val="0"/>
        <w:autoSpaceDE w:val="0"/>
        <w:autoSpaceDN w:val="0"/>
        <w:adjustRightInd w:val="0"/>
        <w:jc w:val="both"/>
      </w:pPr>
      <w:hyperlink r:id="rId13" w:anchor="ntc2-L_2015226BG.01000901-E0002" w:history="1">
        <w:r w:rsidR="006F7C31" w:rsidRPr="0083184D">
          <w:rPr>
            <w:u w:val="single"/>
            <w:lang w:eastAsia="fr-FR"/>
          </w:rPr>
          <w:t>(</w:t>
        </w:r>
        <w:r w:rsidR="006F7C31" w:rsidRPr="0083184D">
          <w:rPr>
            <w:u w:val="single"/>
            <w:vertAlign w:val="superscript"/>
            <w:lang w:eastAsia="fr-FR"/>
          </w:rPr>
          <w:t>2</w:t>
        </w:r>
        <w:r w:rsidR="006F7C31" w:rsidRPr="0083184D">
          <w:rPr>
            <w:u w:val="single"/>
            <w:lang w:eastAsia="fr-FR"/>
          </w:rPr>
          <w:t>)</w:t>
        </w:r>
      </w:hyperlink>
      <w:r w:rsidR="006F7C31" w:rsidRPr="0083184D">
        <w:rPr>
          <w:lang w:eastAsia="fr-FR"/>
        </w:rPr>
        <w:t xml:space="preserve"> При сложен терен се препоръчва 1 ПМ на 25 000 km</w:t>
      </w:r>
      <w:r w:rsidR="006F7C31" w:rsidRPr="0083184D">
        <w:rPr>
          <w:vertAlign w:val="superscript"/>
          <w:lang w:eastAsia="fr-FR"/>
        </w:rPr>
        <w:t>2</w:t>
      </w:r>
      <w:r w:rsidR="006F7C31" w:rsidRPr="0083184D">
        <w:rPr>
          <w:lang w:eastAsia="fr-FR"/>
        </w:rPr>
        <w:t>.</w:t>
      </w:r>
    </w:p>
    <w:p w14:paraId="4750CE3F" w14:textId="77777777" w:rsidR="00041F2E" w:rsidRPr="0068519D" w:rsidRDefault="00041F2E" w:rsidP="00953CFD">
      <w:pPr>
        <w:ind w:firstLine="567"/>
        <w:jc w:val="both"/>
        <w:rPr>
          <w:b/>
        </w:rPr>
      </w:pPr>
    </w:p>
    <w:p w14:paraId="02052FDE" w14:textId="77777777" w:rsidR="009C33EB" w:rsidRPr="00925EA7" w:rsidRDefault="009C33EB" w:rsidP="002D7B25">
      <w:pPr>
        <w:widowControl w:val="0"/>
        <w:autoSpaceDE w:val="0"/>
        <w:autoSpaceDN w:val="0"/>
        <w:adjustRightInd w:val="0"/>
        <w:ind w:firstLine="480"/>
        <w:jc w:val="both"/>
        <w:rPr>
          <w:b/>
          <w:bCs/>
        </w:rPr>
      </w:pPr>
    </w:p>
    <w:p w14:paraId="1C09F71F" w14:textId="77777777" w:rsidR="009C33EB" w:rsidRPr="00925EA7" w:rsidRDefault="009C33EB" w:rsidP="009C33EB">
      <w:pPr>
        <w:widowControl w:val="0"/>
        <w:autoSpaceDE w:val="0"/>
        <w:autoSpaceDN w:val="0"/>
        <w:adjustRightInd w:val="0"/>
        <w:ind w:firstLine="480"/>
        <w:jc w:val="center"/>
        <w:rPr>
          <w:b/>
          <w:bCs/>
        </w:rPr>
      </w:pPr>
      <w:r w:rsidRPr="00925EA7">
        <w:rPr>
          <w:b/>
          <w:bCs/>
        </w:rPr>
        <w:t>Заключителна разпоредба</w:t>
      </w:r>
    </w:p>
    <w:p w14:paraId="455A1ED4" w14:textId="77777777" w:rsidR="009C33EB" w:rsidRPr="00925EA7" w:rsidRDefault="009C33EB" w:rsidP="002D7B25">
      <w:pPr>
        <w:widowControl w:val="0"/>
        <w:autoSpaceDE w:val="0"/>
        <w:autoSpaceDN w:val="0"/>
        <w:adjustRightInd w:val="0"/>
        <w:ind w:firstLine="480"/>
        <w:jc w:val="both"/>
        <w:rPr>
          <w:b/>
          <w:bCs/>
        </w:rPr>
      </w:pPr>
    </w:p>
    <w:p w14:paraId="2D5D8F32" w14:textId="3FB06ADE" w:rsidR="008F07C8" w:rsidRPr="00925EA7" w:rsidRDefault="008F07C8" w:rsidP="008F081B">
      <w:pPr>
        <w:ind w:firstLine="426"/>
      </w:pPr>
      <w:r w:rsidRPr="00925EA7">
        <w:rPr>
          <w:b/>
          <w:bCs/>
        </w:rPr>
        <w:t>§</w:t>
      </w:r>
      <w:r w:rsidRPr="00925EA7">
        <w:rPr>
          <w:bCs/>
        </w:rPr>
        <w:t xml:space="preserve"> </w:t>
      </w:r>
      <w:r w:rsidR="00025B62">
        <w:rPr>
          <w:b/>
          <w:bCs/>
        </w:rPr>
        <w:t>12</w:t>
      </w:r>
      <w:r w:rsidRPr="00925EA7">
        <w:rPr>
          <w:b/>
          <w:bCs/>
        </w:rPr>
        <w:t>.</w:t>
      </w:r>
      <w:r w:rsidRPr="00925EA7">
        <w:t xml:space="preserve"> Наредбата влиза в</w:t>
      </w:r>
      <w:r w:rsidR="00936D72">
        <w:t xml:space="preserve"> сила от деня на обнародването </w:t>
      </w:r>
      <w:r w:rsidR="00936D72" w:rsidRPr="00FF48F6">
        <w:rPr>
          <w:rFonts w:cs="Arial"/>
        </w:rPr>
        <w:t>ѝ</w:t>
      </w:r>
      <w:r w:rsidRPr="00925EA7">
        <w:t xml:space="preserve"> в „Държавен вестник“.</w:t>
      </w:r>
    </w:p>
    <w:p w14:paraId="794B4561" w14:textId="77777777" w:rsidR="008F07C8" w:rsidRPr="00925EA7" w:rsidRDefault="008F07C8" w:rsidP="002D7B25">
      <w:pPr>
        <w:widowControl w:val="0"/>
        <w:autoSpaceDE w:val="0"/>
        <w:autoSpaceDN w:val="0"/>
        <w:adjustRightInd w:val="0"/>
        <w:ind w:firstLine="480"/>
        <w:jc w:val="both"/>
        <w:rPr>
          <w:b/>
          <w:bCs/>
        </w:rPr>
      </w:pPr>
    </w:p>
    <w:p w14:paraId="57B1A0BC" w14:textId="77777777" w:rsidR="00136561" w:rsidRPr="005E4417" w:rsidRDefault="00136561" w:rsidP="002D7B25">
      <w:pPr>
        <w:widowControl w:val="0"/>
        <w:autoSpaceDE w:val="0"/>
        <w:autoSpaceDN w:val="0"/>
        <w:adjustRightInd w:val="0"/>
        <w:ind w:firstLine="480"/>
        <w:jc w:val="both"/>
        <w:rPr>
          <w:b/>
          <w:bCs/>
        </w:rPr>
      </w:pPr>
    </w:p>
    <w:p w14:paraId="547027EF" w14:textId="77777777" w:rsidR="00136561" w:rsidRPr="005E4417" w:rsidRDefault="00136561" w:rsidP="002D7B25">
      <w:pPr>
        <w:widowControl w:val="0"/>
        <w:autoSpaceDE w:val="0"/>
        <w:autoSpaceDN w:val="0"/>
        <w:adjustRightInd w:val="0"/>
        <w:ind w:firstLine="480"/>
        <w:jc w:val="both"/>
        <w:rPr>
          <w:b/>
          <w:bCs/>
        </w:rPr>
      </w:pPr>
    </w:p>
    <w:p w14:paraId="6DB8DB48" w14:textId="77777777" w:rsidR="00F64B8A" w:rsidRPr="005E4417" w:rsidRDefault="00F64B8A" w:rsidP="00F64B8A">
      <w:pPr>
        <w:jc w:val="both"/>
      </w:pPr>
      <w:r w:rsidRPr="005E4417">
        <w:t>МИНИСТЪР НА ОКОЛНАТА СРЕДА И ВОДИТЕ:</w:t>
      </w:r>
    </w:p>
    <w:p w14:paraId="67C142BA" w14:textId="77777777" w:rsidR="00F64B8A" w:rsidRPr="005E4417" w:rsidRDefault="00F64B8A" w:rsidP="00F64B8A">
      <w:pPr>
        <w:ind w:left="4320" w:firstLine="720"/>
        <w:jc w:val="both"/>
        <w:rPr>
          <w:b/>
          <w:i/>
        </w:rPr>
      </w:pPr>
    </w:p>
    <w:p w14:paraId="7C29D739" w14:textId="77777777" w:rsidR="00F64B8A" w:rsidRPr="005E4417" w:rsidRDefault="00F64B8A" w:rsidP="00F64B8A">
      <w:pPr>
        <w:ind w:left="4320" w:firstLine="720"/>
        <w:jc w:val="both"/>
        <w:rPr>
          <w:b/>
          <w:i/>
        </w:rPr>
      </w:pPr>
      <w:r w:rsidRPr="005E4417">
        <w:rPr>
          <w:b/>
          <w:i/>
        </w:rPr>
        <w:tab/>
      </w:r>
      <w:r w:rsidR="005E4417" w:rsidRPr="005E4417">
        <w:rPr>
          <w:b/>
          <w:i/>
        </w:rPr>
        <w:t>ИРИНА КОСТОВА</w:t>
      </w:r>
    </w:p>
    <w:p w14:paraId="6C3296FF" w14:textId="77777777" w:rsidR="00F64B8A" w:rsidRPr="005E4417" w:rsidRDefault="00F64B8A" w:rsidP="00F64B8A">
      <w:pPr>
        <w:ind w:firstLine="720"/>
        <w:jc w:val="both"/>
      </w:pPr>
    </w:p>
    <w:p w14:paraId="6BD7A70D" w14:textId="77777777" w:rsidR="00F64B8A" w:rsidRPr="005E4417" w:rsidRDefault="00F64B8A" w:rsidP="00F64B8A">
      <w:pPr>
        <w:ind w:firstLine="720"/>
        <w:jc w:val="both"/>
      </w:pPr>
    </w:p>
    <w:p w14:paraId="4B3085A6" w14:textId="77777777" w:rsidR="00F64B8A" w:rsidRPr="005E4417" w:rsidRDefault="00B913B3" w:rsidP="00F64B8A">
      <w:pPr>
        <w:jc w:val="both"/>
      </w:pPr>
      <w:r w:rsidRPr="005E4417">
        <w:t>МИНИСТЪР НА ЗДРАВЕОПАЗВАНЕТО</w:t>
      </w:r>
      <w:r w:rsidR="00F64B8A" w:rsidRPr="005E4417">
        <w:t>:</w:t>
      </w:r>
    </w:p>
    <w:p w14:paraId="1F8408C0" w14:textId="77777777" w:rsidR="00F64B8A" w:rsidRPr="005E4417" w:rsidRDefault="00F64B8A" w:rsidP="00F64B8A">
      <w:pPr>
        <w:ind w:left="4320" w:firstLine="720"/>
        <w:jc w:val="both"/>
        <w:rPr>
          <w:b/>
          <w:i/>
        </w:rPr>
      </w:pPr>
    </w:p>
    <w:p w14:paraId="27506041" w14:textId="77777777" w:rsidR="00F64B8A" w:rsidRPr="005E4417" w:rsidRDefault="00F64B8A" w:rsidP="00F64B8A">
      <w:pPr>
        <w:ind w:left="4320" w:firstLine="720"/>
        <w:jc w:val="both"/>
        <w:rPr>
          <w:b/>
          <w:i/>
        </w:rPr>
      </w:pPr>
      <w:r w:rsidRPr="005E4417">
        <w:rPr>
          <w:b/>
          <w:i/>
        </w:rPr>
        <w:tab/>
      </w:r>
      <w:r w:rsidR="005E4417" w:rsidRPr="005E4417">
        <w:rPr>
          <w:b/>
          <w:i/>
        </w:rPr>
        <w:t>ИЛКО СЕМЕРДЖИЕВ</w:t>
      </w:r>
    </w:p>
    <w:p w14:paraId="5189616C" w14:textId="77777777" w:rsidR="00F64B8A" w:rsidRPr="005E4417" w:rsidRDefault="00F64B8A" w:rsidP="002D7B25">
      <w:pPr>
        <w:widowControl w:val="0"/>
        <w:autoSpaceDE w:val="0"/>
        <w:autoSpaceDN w:val="0"/>
        <w:adjustRightInd w:val="0"/>
        <w:ind w:firstLine="480"/>
        <w:jc w:val="both"/>
        <w:rPr>
          <w:b/>
          <w:bCs/>
        </w:rPr>
      </w:pPr>
    </w:p>
    <w:p w14:paraId="1E6B54D6" w14:textId="77777777" w:rsidR="00A4724E" w:rsidRPr="005E4417" w:rsidRDefault="00A4724E" w:rsidP="002D7B25">
      <w:pPr>
        <w:widowControl w:val="0"/>
        <w:autoSpaceDE w:val="0"/>
        <w:autoSpaceDN w:val="0"/>
        <w:adjustRightInd w:val="0"/>
        <w:ind w:firstLine="480"/>
        <w:jc w:val="both"/>
        <w:rPr>
          <w:b/>
          <w:bCs/>
        </w:rPr>
      </w:pPr>
    </w:p>
    <w:p w14:paraId="3B851B0C" w14:textId="1E1C436F" w:rsidR="00A4724E" w:rsidRPr="005E4417" w:rsidRDefault="00A4724E" w:rsidP="00A4724E">
      <w:bookmarkStart w:id="0" w:name="_GoBack"/>
      <w:bookmarkEnd w:id="0"/>
    </w:p>
    <w:sectPr w:rsidR="00A4724E" w:rsidRPr="005E4417" w:rsidSect="00F94DB5">
      <w:footerReference w:type="even" r:id="rId14"/>
      <w:footerReference w:type="default" r:id="rId15"/>
      <w:pgSz w:w="11906" w:h="16838"/>
      <w:pgMar w:top="992" w:right="924" w:bottom="1418" w:left="902"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7B59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E1759" w14:textId="77777777" w:rsidR="00764CD8" w:rsidRDefault="00764CD8">
      <w:r>
        <w:separator/>
      </w:r>
    </w:p>
  </w:endnote>
  <w:endnote w:type="continuationSeparator" w:id="0">
    <w:p w14:paraId="56019DF0" w14:textId="77777777" w:rsidR="00764CD8" w:rsidRDefault="0076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ok">
    <w:altName w:val="Arial Narrow"/>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29546" w14:textId="77777777" w:rsidR="004A36ED" w:rsidRDefault="004A36ED" w:rsidP="002C4F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356517" w14:textId="77777777" w:rsidR="004A36ED" w:rsidRDefault="004A36ED" w:rsidP="002C4F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C0809" w14:textId="33FFEAEF" w:rsidR="004A36ED" w:rsidRDefault="004A36ED" w:rsidP="002C4F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0B53">
      <w:rPr>
        <w:rStyle w:val="PageNumber"/>
        <w:noProof/>
      </w:rPr>
      <w:t>5</w:t>
    </w:r>
    <w:r>
      <w:rPr>
        <w:rStyle w:val="PageNumber"/>
      </w:rPr>
      <w:fldChar w:fldCharType="end"/>
    </w:r>
  </w:p>
  <w:p w14:paraId="1DBD490B" w14:textId="77777777" w:rsidR="004A36ED" w:rsidRDefault="004A36ED" w:rsidP="002C4F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AF547" w14:textId="77777777" w:rsidR="00764CD8" w:rsidRDefault="00764CD8">
      <w:r>
        <w:separator/>
      </w:r>
    </w:p>
  </w:footnote>
  <w:footnote w:type="continuationSeparator" w:id="0">
    <w:p w14:paraId="1712FB7F" w14:textId="77777777" w:rsidR="00764CD8" w:rsidRDefault="00764C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2C03"/>
    <w:multiLevelType w:val="hybridMultilevel"/>
    <w:tmpl w:val="B25032CA"/>
    <w:lvl w:ilvl="0" w:tplc="B300B12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F910937"/>
    <w:multiLevelType w:val="hybridMultilevel"/>
    <w:tmpl w:val="79764918"/>
    <w:lvl w:ilvl="0" w:tplc="AD2A90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3EC54EF5"/>
    <w:multiLevelType w:val="hybridMultilevel"/>
    <w:tmpl w:val="F550B55E"/>
    <w:lvl w:ilvl="0" w:tplc="A2E84D9E">
      <w:start w:val="4"/>
      <w:numFmt w:val="bullet"/>
      <w:lvlText w:val="-"/>
      <w:lvlJc w:val="left"/>
      <w:pPr>
        <w:ind w:left="840" w:hanging="360"/>
      </w:pPr>
      <w:rPr>
        <w:rFonts w:ascii="Times New Roman" w:eastAsia="Times New Roman" w:hAnsi="Times New Roman" w:hint="default"/>
      </w:rPr>
    </w:lvl>
    <w:lvl w:ilvl="1" w:tplc="04020003" w:tentative="1">
      <w:start w:val="1"/>
      <w:numFmt w:val="bullet"/>
      <w:lvlText w:val="o"/>
      <w:lvlJc w:val="left"/>
      <w:pPr>
        <w:ind w:left="1560" w:hanging="360"/>
      </w:pPr>
      <w:rPr>
        <w:rFonts w:ascii="Courier New" w:hAnsi="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3">
    <w:nsid w:val="63353BB0"/>
    <w:multiLevelType w:val="hybridMultilevel"/>
    <w:tmpl w:val="35125DFA"/>
    <w:lvl w:ilvl="0" w:tplc="97CC0F3C">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6AF178E7"/>
    <w:multiLevelType w:val="hybridMultilevel"/>
    <w:tmpl w:val="B8983390"/>
    <w:lvl w:ilvl="0" w:tplc="1CA8B33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730B4066"/>
    <w:multiLevelType w:val="hybridMultilevel"/>
    <w:tmpl w:val="78943A84"/>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num w:numId="1">
    <w:abstractNumId w:val="5"/>
  </w:num>
  <w:num w:numId="2">
    <w:abstractNumId w:val="4"/>
  </w:num>
  <w:num w:numId="3">
    <w:abstractNumId w:val="2"/>
  </w:num>
  <w:num w:numId="4">
    <w:abstractNumId w:val="3"/>
  </w:num>
  <w:num w:numId="5">
    <w:abstractNumId w:val="0"/>
  </w:num>
  <w:num w:numId="6">
    <w:abstractNumId w:val="1"/>
  </w:num>
  <w:numIdMacAtCleanup w:val="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B0"/>
    <w:rsid w:val="0000039A"/>
    <w:rsid w:val="00000922"/>
    <w:rsid w:val="00000B69"/>
    <w:rsid w:val="00000DBC"/>
    <w:rsid w:val="00000E29"/>
    <w:rsid w:val="00001327"/>
    <w:rsid w:val="00001CAE"/>
    <w:rsid w:val="00001DFB"/>
    <w:rsid w:val="00005723"/>
    <w:rsid w:val="000110D3"/>
    <w:rsid w:val="000115C8"/>
    <w:rsid w:val="000115CE"/>
    <w:rsid w:val="000130F1"/>
    <w:rsid w:val="00013CD7"/>
    <w:rsid w:val="00015586"/>
    <w:rsid w:val="000166F8"/>
    <w:rsid w:val="00016C07"/>
    <w:rsid w:val="00020DAB"/>
    <w:rsid w:val="00023B79"/>
    <w:rsid w:val="00023F2D"/>
    <w:rsid w:val="00024707"/>
    <w:rsid w:val="00024B87"/>
    <w:rsid w:val="00025321"/>
    <w:rsid w:val="00025B62"/>
    <w:rsid w:val="000260B1"/>
    <w:rsid w:val="00030AB0"/>
    <w:rsid w:val="00030F34"/>
    <w:rsid w:val="00031122"/>
    <w:rsid w:val="000314E7"/>
    <w:rsid w:val="00032346"/>
    <w:rsid w:val="0003259B"/>
    <w:rsid w:val="00032C53"/>
    <w:rsid w:val="00033C25"/>
    <w:rsid w:val="0003500D"/>
    <w:rsid w:val="00035A81"/>
    <w:rsid w:val="00035BB1"/>
    <w:rsid w:val="000364FA"/>
    <w:rsid w:val="00036581"/>
    <w:rsid w:val="00036BE9"/>
    <w:rsid w:val="00037C43"/>
    <w:rsid w:val="00040318"/>
    <w:rsid w:val="00041331"/>
    <w:rsid w:val="00041C7F"/>
    <w:rsid w:val="00041F2E"/>
    <w:rsid w:val="00042F79"/>
    <w:rsid w:val="00043908"/>
    <w:rsid w:val="00043A56"/>
    <w:rsid w:val="000443D1"/>
    <w:rsid w:val="000456CE"/>
    <w:rsid w:val="0004678C"/>
    <w:rsid w:val="00050EC8"/>
    <w:rsid w:val="000568E9"/>
    <w:rsid w:val="000602E6"/>
    <w:rsid w:val="000663B9"/>
    <w:rsid w:val="00067C14"/>
    <w:rsid w:val="00070201"/>
    <w:rsid w:val="00070620"/>
    <w:rsid w:val="00072782"/>
    <w:rsid w:val="00073315"/>
    <w:rsid w:val="00076245"/>
    <w:rsid w:val="00077802"/>
    <w:rsid w:val="00077D78"/>
    <w:rsid w:val="00080758"/>
    <w:rsid w:val="000847C3"/>
    <w:rsid w:val="00085723"/>
    <w:rsid w:val="00086557"/>
    <w:rsid w:val="000873AD"/>
    <w:rsid w:val="00087BA5"/>
    <w:rsid w:val="000920E4"/>
    <w:rsid w:val="00092B80"/>
    <w:rsid w:val="00094B5D"/>
    <w:rsid w:val="00096B2B"/>
    <w:rsid w:val="000975E3"/>
    <w:rsid w:val="000A194C"/>
    <w:rsid w:val="000A2DCE"/>
    <w:rsid w:val="000A4748"/>
    <w:rsid w:val="000A48E3"/>
    <w:rsid w:val="000A4DD7"/>
    <w:rsid w:val="000A4EBA"/>
    <w:rsid w:val="000A5690"/>
    <w:rsid w:val="000A604C"/>
    <w:rsid w:val="000A6B05"/>
    <w:rsid w:val="000A6E3E"/>
    <w:rsid w:val="000B0AC5"/>
    <w:rsid w:val="000B26EF"/>
    <w:rsid w:val="000B4342"/>
    <w:rsid w:val="000B5FC1"/>
    <w:rsid w:val="000B68F8"/>
    <w:rsid w:val="000B7770"/>
    <w:rsid w:val="000C345B"/>
    <w:rsid w:val="000C45C3"/>
    <w:rsid w:val="000C480B"/>
    <w:rsid w:val="000C7816"/>
    <w:rsid w:val="000D2541"/>
    <w:rsid w:val="000D2FCB"/>
    <w:rsid w:val="000D32CE"/>
    <w:rsid w:val="000D460F"/>
    <w:rsid w:val="000D52B9"/>
    <w:rsid w:val="000D55F5"/>
    <w:rsid w:val="000D5799"/>
    <w:rsid w:val="000D5867"/>
    <w:rsid w:val="000D593B"/>
    <w:rsid w:val="000D7983"/>
    <w:rsid w:val="000E0957"/>
    <w:rsid w:val="000E2E4B"/>
    <w:rsid w:val="000E30A6"/>
    <w:rsid w:val="000E51F3"/>
    <w:rsid w:val="000E52BC"/>
    <w:rsid w:val="000E5787"/>
    <w:rsid w:val="000E7398"/>
    <w:rsid w:val="000F2A39"/>
    <w:rsid w:val="000F3E61"/>
    <w:rsid w:val="000F453B"/>
    <w:rsid w:val="000F45ED"/>
    <w:rsid w:val="000F4CD0"/>
    <w:rsid w:val="000F5E87"/>
    <w:rsid w:val="000F7D51"/>
    <w:rsid w:val="00101B61"/>
    <w:rsid w:val="001024F2"/>
    <w:rsid w:val="00102943"/>
    <w:rsid w:val="001030CE"/>
    <w:rsid w:val="00103928"/>
    <w:rsid w:val="00107CBC"/>
    <w:rsid w:val="00107E24"/>
    <w:rsid w:val="001108A2"/>
    <w:rsid w:val="0011164C"/>
    <w:rsid w:val="00113252"/>
    <w:rsid w:val="00114BBF"/>
    <w:rsid w:val="001171A8"/>
    <w:rsid w:val="0011776E"/>
    <w:rsid w:val="00121F73"/>
    <w:rsid w:val="001256FC"/>
    <w:rsid w:val="00125D93"/>
    <w:rsid w:val="0013053D"/>
    <w:rsid w:val="00132CBD"/>
    <w:rsid w:val="00133853"/>
    <w:rsid w:val="00135FBF"/>
    <w:rsid w:val="00136561"/>
    <w:rsid w:val="00136FAB"/>
    <w:rsid w:val="0013719D"/>
    <w:rsid w:val="00137314"/>
    <w:rsid w:val="001374EE"/>
    <w:rsid w:val="00141746"/>
    <w:rsid w:val="00143880"/>
    <w:rsid w:val="00150ED6"/>
    <w:rsid w:val="001510D9"/>
    <w:rsid w:val="001517D4"/>
    <w:rsid w:val="00151823"/>
    <w:rsid w:val="00151875"/>
    <w:rsid w:val="00152A94"/>
    <w:rsid w:val="00155771"/>
    <w:rsid w:val="00155907"/>
    <w:rsid w:val="00156F68"/>
    <w:rsid w:val="001572FF"/>
    <w:rsid w:val="001577B4"/>
    <w:rsid w:val="00157EA6"/>
    <w:rsid w:val="00160F5B"/>
    <w:rsid w:val="001616AB"/>
    <w:rsid w:val="00162477"/>
    <w:rsid w:val="00162F56"/>
    <w:rsid w:val="00164F0C"/>
    <w:rsid w:val="00165681"/>
    <w:rsid w:val="0016661E"/>
    <w:rsid w:val="00170A16"/>
    <w:rsid w:val="00171ACC"/>
    <w:rsid w:val="00172EAE"/>
    <w:rsid w:val="001733E1"/>
    <w:rsid w:val="00173A7D"/>
    <w:rsid w:val="00174F2C"/>
    <w:rsid w:val="001750C3"/>
    <w:rsid w:val="001754CD"/>
    <w:rsid w:val="00175CB9"/>
    <w:rsid w:val="00176A10"/>
    <w:rsid w:val="0017786D"/>
    <w:rsid w:val="0018091E"/>
    <w:rsid w:val="00181527"/>
    <w:rsid w:val="00184067"/>
    <w:rsid w:val="00184F9B"/>
    <w:rsid w:val="001862B4"/>
    <w:rsid w:val="001876FD"/>
    <w:rsid w:val="00190240"/>
    <w:rsid w:val="00190775"/>
    <w:rsid w:val="00193408"/>
    <w:rsid w:val="00195DAC"/>
    <w:rsid w:val="00195E2D"/>
    <w:rsid w:val="0019636C"/>
    <w:rsid w:val="001969E3"/>
    <w:rsid w:val="001970C5"/>
    <w:rsid w:val="001A1ED0"/>
    <w:rsid w:val="001A2116"/>
    <w:rsid w:val="001A3026"/>
    <w:rsid w:val="001A7ED9"/>
    <w:rsid w:val="001B1BEC"/>
    <w:rsid w:val="001B23B2"/>
    <w:rsid w:val="001B47E5"/>
    <w:rsid w:val="001B53CB"/>
    <w:rsid w:val="001B6038"/>
    <w:rsid w:val="001B65E8"/>
    <w:rsid w:val="001C248A"/>
    <w:rsid w:val="001C2871"/>
    <w:rsid w:val="001C439E"/>
    <w:rsid w:val="001C447A"/>
    <w:rsid w:val="001C4576"/>
    <w:rsid w:val="001C536C"/>
    <w:rsid w:val="001C5BD1"/>
    <w:rsid w:val="001C5C9C"/>
    <w:rsid w:val="001C6D89"/>
    <w:rsid w:val="001D01E2"/>
    <w:rsid w:val="001D03BA"/>
    <w:rsid w:val="001D194C"/>
    <w:rsid w:val="001D1D66"/>
    <w:rsid w:val="001D251F"/>
    <w:rsid w:val="001D279A"/>
    <w:rsid w:val="001D279E"/>
    <w:rsid w:val="001D3D04"/>
    <w:rsid w:val="001D415D"/>
    <w:rsid w:val="001D5700"/>
    <w:rsid w:val="001D5768"/>
    <w:rsid w:val="001D63AE"/>
    <w:rsid w:val="001D6A90"/>
    <w:rsid w:val="001D6B95"/>
    <w:rsid w:val="001D745A"/>
    <w:rsid w:val="001D7878"/>
    <w:rsid w:val="001D7888"/>
    <w:rsid w:val="001E087F"/>
    <w:rsid w:val="001E2069"/>
    <w:rsid w:val="001E295A"/>
    <w:rsid w:val="001E2AB9"/>
    <w:rsid w:val="001E3DC8"/>
    <w:rsid w:val="001E4BF8"/>
    <w:rsid w:val="001E4F97"/>
    <w:rsid w:val="001E5134"/>
    <w:rsid w:val="001E5D71"/>
    <w:rsid w:val="001E6141"/>
    <w:rsid w:val="001E6BE6"/>
    <w:rsid w:val="001E6D07"/>
    <w:rsid w:val="001F13C4"/>
    <w:rsid w:val="001F2F1D"/>
    <w:rsid w:val="001F3AA2"/>
    <w:rsid w:val="001F4D0B"/>
    <w:rsid w:val="001F5EB2"/>
    <w:rsid w:val="001F6299"/>
    <w:rsid w:val="001F67AA"/>
    <w:rsid w:val="001F6E70"/>
    <w:rsid w:val="002037DF"/>
    <w:rsid w:val="00207B33"/>
    <w:rsid w:val="002115AD"/>
    <w:rsid w:val="00212626"/>
    <w:rsid w:val="00212D65"/>
    <w:rsid w:val="00215EE2"/>
    <w:rsid w:val="00217700"/>
    <w:rsid w:val="002226DF"/>
    <w:rsid w:val="0022320E"/>
    <w:rsid w:val="00223C77"/>
    <w:rsid w:val="0022409B"/>
    <w:rsid w:val="0022410F"/>
    <w:rsid w:val="00225587"/>
    <w:rsid w:val="0022598A"/>
    <w:rsid w:val="00225A98"/>
    <w:rsid w:val="0022791E"/>
    <w:rsid w:val="00227E81"/>
    <w:rsid w:val="00230B53"/>
    <w:rsid w:val="002311F9"/>
    <w:rsid w:val="00233CA7"/>
    <w:rsid w:val="00233D17"/>
    <w:rsid w:val="00234D1C"/>
    <w:rsid w:val="00235D78"/>
    <w:rsid w:val="0023718E"/>
    <w:rsid w:val="00243D37"/>
    <w:rsid w:val="00243E2B"/>
    <w:rsid w:val="002441FD"/>
    <w:rsid w:val="00244DF4"/>
    <w:rsid w:val="002455B5"/>
    <w:rsid w:val="00251585"/>
    <w:rsid w:val="0025190C"/>
    <w:rsid w:val="0025198C"/>
    <w:rsid w:val="00251C93"/>
    <w:rsid w:val="00252E61"/>
    <w:rsid w:val="002537E4"/>
    <w:rsid w:val="00254006"/>
    <w:rsid w:val="002549E7"/>
    <w:rsid w:val="002551A1"/>
    <w:rsid w:val="00256613"/>
    <w:rsid w:val="00256698"/>
    <w:rsid w:val="00257D38"/>
    <w:rsid w:val="002601AF"/>
    <w:rsid w:val="0026227F"/>
    <w:rsid w:val="002624CB"/>
    <w:rsid w:val="00262E68"/>
    <w:rsid w:val="002646A7"/>
    <w:rsid w:val="00265456"/>
    <w:rsid w:val="00270419"/>
    <w:rsid w:val="00271CA7"/>
    <w:rsid w:val="00273535"/>
    <w:rsid w:val="002740A4"/>
    <w:rsid w:val="00276A8C"/>
    <w:rsid w:val="002809F2"/>
    <w:rsid w:val="00281B67"/>
    <w:rsid w:val="0028252C"/>
    <w:rsid w:val="00290821"/>
    <w:rsid w:val="00290AD5"/>
    <w:rsid w:val="002921EB"/>
    <w:rsid w:val="002950B9"/>
    <w:rsid w:val="00295880"/>
    <w:rsid w:val="00296F61"/>
    <w:rsid w:val="002972CB"/>
    <w:rsid w:val="002A15E8"/>
    <w:rsid w:val="002A330D"/>
    <w:rsid w:val="002A355B"/>
    <w:rsid w:val="002A44CF"/>
    <w:rsid w:val="002A5821"/>
    <w:rsid w:val="002B0A7A"/>
    <w:rsid w:val="002B1940"/>
    <w:rsid w:val="002B3BFC"/>
    <w:rsid w:val="002B4B11"/>
    <w:rsid w:val="002B59DD"/>
    <w:rsid w:val="002B5B80"/>
    <w:rsid w:val="002B65A1"/>
    <w:rsid w:val="002C14F3"/>
    <w:rsid w:val="002C4188"/>
    <w:rsid w:val="002C4810"/>
    <w:rsid w:val="002C4FD0"/>
    <w:rsid w:val="002C76F3"/>
    <w:rsid w:val="002D0182"/>
    <w:rsid w:val="002D3901"/>
    <w:rsid w:val="002D3FB4"/>
    <w:rsid w:val="002D555C"/>
    <w:rsid w:val="002D6005"/>
    <w:rsid w:val="002D7B25"/>
    <w:rsid w:val="002D7FE1"/>
    <w:rsid w:val="002E113D"/>
    <w:rsid w:val="002E21F4"/>
    <w:rsid w:val="002E2A9F"/>
    <w:rsid w:val="002E3F14"/>
    <w:rsid w:val="002E4C0B"/>
    <w:rsid w:val="002E5F5F"/>
    <w:rsid w:val="002E6F14"/>
    <w:rsid w:val="002E7F99"/>
    <w:rsid w:val="002F0972"/>
    <w:rsid w:val="002F18DD"/>
    <w:rsid w:val="002F20F8"/>
    <w:rsid w:val="002F2526"/>
    <w:rsid w:val="002F547D"/>
    <w:rsid w:val="002F594B"/>
    <w:rsid w:val="002F6F81"/>
    <w:rsid w:val="002F7275"/>
    <w:rsid w:val="00301BEA"/>
    <w:rsid w:val="00303204"/>
    <w:rsid w:val="003034C6"/>
    <w:rsid w:val="00303A56"/>
    <w:rsid w:val="00305BF7"/>
    <w:rsid w:val="00305C41"/>
    <w:rsid w:val="00306484"/>
    <w:rsid w:val="00307AE7"/>
    <w:rsid w:val="003129AC"/>
    <w:rsid w:val="00312B5B"/>
    <w:rsid w:val="00313229"/>
    <w:rsid w:val="00314231"/>
    <w:rsid w:val="003143F3"/>
    <w:rsid w:val="00314DE0"/>
    <w:rsid w:val="00315B82"/>
    <w:rsid w:val="00315CE6"/>
    <w:rsid w:val="00317D5D"/>
    <w:rsid w:val="00320B9E"/>
    <w:rsid w:val="00322AD4"/>
    <w:rsid w:val="00323086"/>
    <w:rsid w:val="003235B8"/>
    <w:rsid w:val="00324C6C"/>
    <w:rsid w:val="0032511B"/>
    <w:rsid w:val="00325AC9"/>
    <w:rsid w:val="00325FFC"/>
    <w:rsid w:val="00326EE9"/>
    <w:rsid w:val="00327321"/>
    <w:rsid w:val="003275AD"/>
    <w:rsid w:val="003320B7"/>
    <w:rsid w:val="003325D4"/>
    <w:rsid w:val="00333C89"/>
    <w:rsid w:val="00333FD5"/>
    <w:rsid w:val="00334726"/>
    <w:rsid w:val="00336030"/>
    <w:rsid w:val="00337F44"/>
    <w:rsid w:val="00337FE4"/>
    <w:rsid w:val="003400BF"/>
    <w:rsid w:val="00341B79"/>
    <w:rsid w:val="00343306"/>
    <w:rsid w:val="00343756"/>
    <w:rsid w:val="00344895"/>
    <w:rsid w:val="0034571B"/>
    <w:rsid w:val="003474CB"/>
    <w:rsid w:val="003479BF"/>
    <w:rsid w:val="00351440"/>
    <w:rsid w:val="00352B22"/>
    <w:rsid w:val="00354195"/>
    <w:rsid w:val="003549E4"/>
    <w:rsid w:val="00355D30"/>
    <w:rsid w:val="003613CC"/>
    <w:rsid w:val="00364775"/>
    <w:rsid w:val="00364A5A"/>
    <w:rsid w:val="00365726"/>
    <w:rsid w:val="00365B40"/>
    <w:rsid w:val="00366568"/>
    <w:rsid w:val="00366AB6"/>
    <w:rsid w:val="0037091A"/>
    <w:rsid w:val="00371120"/>
    <w:rsid w:val="00371943"/>
    <w:rsid w:val="00373734"/>
    <w:rsid w:val="00375430"/>
    <w:rsid w:val="00375D74"/>
    <w:rsid w:val="00375EF4"/>
    <w:rsid w:val="003767A2"/>
    <w:rsid w:val="003771A2"/>
    <w:rsid w:val="00377485"/>
    <w:rsid w:val="00377CB2"/>
    <w:rsid w:val="003809F0"/>
    <w:rsid w:val="00380F1F"/>
    <w:rsid w:val="003810B7"/>
    <w:rsid w:val="00381191"/>
    <w:rsid w:val="0038138F"/>
    <w:rsid w:val="003822DF"/>
    <w:rsid w:val="0038298B"/>
    <w:rsid w:val="003831A5"/>
    <w:rsid w:val="00383390"/>
    <w:rsid w:val="00383FF5"/>
    <w:rsid w:val="003842B5"/>
    <w:rsid w:val="00386AD3"/>
    <w:rsid w:val="00390888"/>
    <w:rsid w:val="00392266"/>
    <w:rsid w:val="003922FC"/>
    <w:rsid w:val="00392582"/>
    <w:rsid w:val="00392846"/>
    <w:rsid w:val="00394159"/>
    <w:rsid w:val="00394728"/>
    <w:rsid w:val="00397D52"/>
    <w:rsid w:val="003A1C1D"/>
    <w:rsid w:val="003A39F2"/>
    <w:rsid w:val="003A403C"/>
    <w:rsid w:val="003A5531"/>
    <w:rsid w:val="003A7F42"/>
    <w:rsid w:val="003B0802"/>
    <w:rsid w:val="003B162C"/>
    <w:rsid w:val="003B19D9"/>
    <w:rsid w:val="003B1FD3"/>
    <w:rsid w:val="003B2801"/>
    <w:rsid w:val="003B5863"/>
    <w:rsid w:val="003B60B0"/>
    <w:rsid w:val="003B6E8B"/>
    <w:rsid w:val="003B7461"/>
    <w:rsid w:val="003B7C07"/>
    <w:rsid w:val="003C0229"/>
    <w:rsid w:val="003C0D82"/>
    <w:rsid w:val="003C198C"/>
    <w:rsid w:val="003C2CEF"/>
    <w:rsid w:val="003C2D9E"/>
    <w:rsid w:val="003C330F"/>
    <w:rsid w:val="003C3A3E"/>
    <w:rsid w:val="003C57A8"/>
    <w:rsid w:val="003C687B"/>
    <w:rsid w:val="003D051A"/>
    <w:rsid w:val="003D2363"/>
    <w:rsid w:val="003D5C4C"/>
    <w:rsid w:val="003D62C0"/>
    <w:rsid w:val="003E00C9"/>
    <w:rsid w:val="003E022F"/>
    <w:rsid w:val="003E064B"/>
    <w:rsid w:val="003E1001"/>
    <w:rsid w:val="003E162E"/>
    <w:rsid w:val="003E2599"/>
    <w:rsid w:val="003E2711"/>
    <w:rsid w:val="003E2E0C"/>
    <w:rsid w:val="003E410B"/>
    <w:rsid w:val="003E47B0"/>
    <w:rsid w:val="003E6205"/>
    <w:rsid w:val="003E6430"/>
    <w:rsid w:val="003E6F50"/>
    <w:rsid w:val="003E7728"/>
    <w:rsid w:val="003F0158"/>
    <w:rsid w:val="003F023E"/>
    <w:rsid w:val="003F064D"/>
    <w:rsid w:val="003F0F85"/>
    <w:rsid w:val="003F1779"/>
    <w:rsid w:val="003F1CDA"/>
    <w:rsid w:val="003F24C9"/>
    <w:rsid w:val="003F3858"/>
    <w:rsid w:val="003F55FA"/>
    <w:rsid w:val="003F5B70"/>
    <w:rsid w:val="003F71B0"/>
    <w:rsid w:val="003F79F9"/>
    <w:rsid w:val="0040021F"/>
    <w:rsid w:val="00400498"/>
    <w:rsid w:val="004008EF"/>
    <w:rsid w:val="004020B9"/>
    <w:rsid w:val="004025DA"/>
    <w:rsid w:val="00402CA5"/>
    <w:rsid w:val="00402DD8"/>
    <w:rsid w:val="00403118"/>
    <w:rsid w:val="0040487C"/>
    <w:rsid w:val="00404AD0"/>
    <w:rsid w:val="00407B59"/>
    <w:rsid w:val="00414328"/>
    <w:rsid w:val="004149EC"/>
    <w:rsid w:val="00414DB2"/>
    <w:rsid w:val="004152B2"/>
    <w:rsid w:val="00417041"/>
    <w:rsid w:val="00417889"/>
    <w:rsid w:val="00420FCC"/>
    <w:rsid w:val="00421658"/>
    <w:rsid w:val="0042260C"/>
    <w:rsid w:val="00423A4A"/>
    <w:rsid w:val="00423C56"/>
    <w:rsid w:val="004243F9"/>
    <w:rsid w:val="0042483B"/>
    <w:rsid w:val="00425F6D"/>
    <w:rsid w:val="00427096"/>
    <w:rsid w:val="004275FA"/>
    <w:rsid w:val="00427F34"/>
    <w:rsid w:val="004304A3"/>
    <w:rsid w:val="00430502"/>
    <w:rsid w:val="00430FCD"/>
    <w:rsid w:val="00431BB5"/>
    <w:rsid w:val="0043302C"/>
    <w:rsid w:val="0043329C"/>
    <w:rsid w:val="004359D8"/>
    <w:rsid w:val="00435D7E"/>
    <w:rsid w:val="004371B5"/>
    <w:rsid w:val="0044031F"/>
    <w:rsid w:val="0044090A"/>
    <w:rsid w:val="00440F2A"/>
    <w:rsid w:val="004418DB"/>
    <w:rsid w:val="004440AF"/>
    <w:rsid w:val="00444F3F"/>
    <w:rsid w:val="00445C45"/>
    <w:rsid w:val="004462EC"/>
    <w:rsid w:val="004464C1"/>
    <w:rsid w:val="00447CD0"/>
    <w:rsid w:val="00447F5E"/>
    <w:rsid w:val="00451187"/>
    <w:rsid w:val="00451F51"/>
    <w:rsid w:val="00452565"/>
    <w:rsid w:val="00452B65"/>
    <w:rsid w:val="004541ED"/>
    <w:rsid w:val="00455D94"/>
    <w:rsid w:val="004568B6"/>
    <w:rsid w:val="00456A48"/>
    <w:rsid w:val="00462F85"/>
    <w:rsid w:val="00463E6B"/>
    <w:rsid w:val="004647F4"/>
    <w:rsid w:val="004647FC"/>
    <w:rsid w:val="004678D1"/>
    <w:rsid w:val="00467BA4"/>
    <w:rsid w:val="004707C4"/>
    <w:rsid w:val="00472069"/>
    <w:rsid w:val="004720BF"/>
    <w:rsid w:val="004743F2"/>
    <w:rsid w:val="0047513D"/>
    <w:rsid w:val="00475511"/>
    <w:rsid w:val="00475626"/>
    <w:rsid w:val="00476427"/>
    <w:rsid w:val="004775D6"/>
    <w:rsid w:val="004815F8"/>
    <w:rsid w:val="00481BAB"/>
    <w:rsid w:val="0048279A"/>
    <w:rsid w:val="004837CC"/>
    <w:rsid w:val="004856C3"/>
    <w:rsid w:val="00485B89"/>
    <w:rsid w:val="004860B1"/>
    <w:rsid w:val="00486B2C"/>
    <w:rsid w:val="00487240"/>
    <w:rsid w:val="00490912"/>
    <w:rsid w:val="004938F2"/>
    <w:rsid w:val="00493C49"/>
    <w:rsid w:val="00493C9C"/>
    <w:rsid w:val="004941BD"/>
    <w:rsid w:val="00494D9F"/>
    <w:rsid w:val="004A090B"/>
    <w:rsid w:val="004A17B6"/>
    <w:rsid w:val="004A2957"/>
    <w:rsid w:val="004A36ED"/>
    <w:rsid w:val="004A3B68"/>
    <w:rsid w:val="004A3C1D"/>
    <w:rsid w:val="004A3EC8"/>
    <w:rsid w:val="004A445B"/>
    <w:rsid w:val="004A5B44"/>
    <w:rsid w:val="004B04F6"/>
    <w:rsid w:val="004B0907"/>
    <w:rsid w:val="004B0FC9"/>
    <w:rsid w:val="004B13AA"/>
    <w:rsid w:val="004B1EAC"/>
    <w:rsid w:val="004B2A40"/>
    <w:rsid w:val="004B474D"/>
    <w:rsid w:val="004B5764"/>
    <w:rsid w:val="004B598F"/>
    <w:rsid w:val="004B61AD"/>
    <w:rsid w:val="004B6C3E"/>
    <w:rsid w:val="004B7C66"/>
    <w:rsid w:val="004C013B"/>
    <w:rsid w:val="004C060D"/>
    <w:rsid w:val="004C09BD"/>
    <w:rsid w:val="004C0DE4"/>
    <w:rsid w:val="004C1D53"/>
    <w:rsid w:val="004C3121"/>
    <w:rsid w:val="004C42E5"/>
    <w:rsid w:val="004C5A2E"/>
    <w:rsid w:val="004C7626"/>
    <w:rsid w:val="004D026D"/>
    <w:rsid w:val="004D1991"/>
    <w:rsid w:val="004D2134"/>
    <w:rsid w:val="004D2EF4"/>
    <w:rsid w:val="004D38F4"/>
    <w:rsid w:val="004D3C1A"/>
    <w:rsid w:val="004D7211"/>
    <w:rsid w:val="004D78DE"/>
    <w:rsid w:val="004D7B8D"/>
    <w:rsid w:val="004E1671"/>
    <w:rsid w:val="004E1A1E"/>
    <w:rsid w:val="004E234C"/>
    <w:rsid w:val="004E240E"/>
    <w:rsid w:val="004E2C42"/>
    <w:rsid w:val="004E3685"/>
    <w:rsid w:val="004E3E42"/>
    <w:rsid w:val="004E3E45"/>
    <w:rsid w:val="004E4053"/>
    <w:rsid w:val="004E46EE"/>
    <w:rsid w:val="004E6683"/>
    <w:rsid w:val="004E7C41"/>
    <w:rsid w:val="004F2EE1"/>
    <w:rsid w:val="004F3483"/>
    <w:rsid w:val="004F40A3"/>
    <w:rsid w:val="004F4799"/>
    <w:rsid w:val="004F51B2"/>
    <w:rsid w:val="004F72BE"/>
    <w:rsid w:val="004F78BF"/>
    <w:rsid w:val="005005FF"/>
    <w:rsid w:val="005006D8"/>
    <w:rsid w:val="00500D7F"/>
    <w:rsid w:val="005017CE"/>
    <w:rsid w:val="00502EDB"/>
    <w:rsid w:val="00502F3D"/>
    <w:rsid w:val="0050345C"/>
    <w:rsid w:val="00503B61"/>
    <w:rsid w:val="0050553C"/>
    <w:rsid w:val="00506AEB"/>
    <w:rsid w:val="00507DE7"/>
    <w:rsid w:val="0051105C"/>
    <w:rsid w:val="0051158F"/>
    <w:rsid w:val="00511ABC"/>
    <w:rsid w:val="00511E05"/>
    <w:rsid w:val="00512079"/>
    <w:rsid w:val="0051472C"/>
    <w:rsid w:val="005153FE"/>
    <w:rsid w:val="005200B5"/>
    <w:rsid w:val="005214AF"/>
    <w:rsid w:val="0052270C"/>
    <w:rsid w:val="0052323D"/>
    <w:rsid w:val="005245D9"/>
    <w:rsid w:val="00526C56"/>
    <w:rsid w:val="005301D9"/>
    <w:rsid w:val="00531924"/>
    <w:rsid w:val="00531DCF"/>
    <w:rsid w:val="00534C48"/>
    <w:rsid w:val="005356C5"/>
    <w:rsid w:val="005378AF"/>
    <w:rsid w:val="00537ADB"/>
    <w:rsid w:val="005443AC"/>
    <w:rsid w:val="005451BF"/>
    <w:rsid w:val="00545AD4"/>
    <w:rsid w:val="005460F3"/>
    <w:rsid w:val="005465AA"/>
    <w:rsid w:val="00546661"/>
    <w:rsid w:val="00546A84"/>
    <w:rsid w:val="00547BEF"/>
    <w:rsid w:val="00551D5C"/>
    <w:rsid w:val="00551FC4"/>
    <w:rsid w:val="00552BF3"/>
    <w:rsid w:val="00554B31"/>
    <w:rsid w:val="005556CD"/>
    <w:rsid w:val="00557309"/>
    <w:rsid w:val="00557548"/>
    <w:rsid w:val="00561110"/>
    <w:rsid w:val="005623A9"/>
    <w:rsid w:val="005623F1"/>
    <w:rsid w:val="005629F2"/>
    <w:rsid w:val="00563AB5"/>
    <w:rsid w:val="00563C9A"/>
    <w:rsid w:val="005642DB"/>
    <w:rsid w:val="00564725"/>
    <w:rsid w:val="00564C5C"/>
    <w:rsid w:val="00565504"/>
    <w:rsid w:val="00566004"/>
    <w:rsid w:val="0056642B"/>
    <w:rsid w:val="005709FA"/>
    <w:rsid w:val="00571195"/>
    <w:rsid w:val="00571600"/>
    <w:rsid w:val="005717FA"/>
    <w:rsid w:val="00572D3C"/>
    <w:rsid w:val="00573627"/>
    <w:rsid w:val="0057382B"/>
    <w:rsid w:val="00573E7C"/>
    <w:rsid w:val="00573FF7"/>
    <w:rsid w:val="00574417"/>
    <w:rsid w:val="00577386"/>
    <w:rsid w:val="005776EE"/>
    <w:rsid w:val="0058096A"/>
    <w:rsid w:val="00580C33"/>
    <w:rsid w:val="00581533"/>
    <w:rsid w:val="005833B6"/>
    <w:rsid w:val="005835AF"/>
    <w:rsid w:val="00583D02"/>
    <w:rsid w:val="00584C69"/>
    <w:rsid w:val="00587BB3"/>
    <w:rsid w:val="00590755"/>
    <w:rsid w:val="0059091F"/>
    <w:rsid w:val="005919B8"/>
    <w:rsid w:val="00592547"/>
    <w:rsid w:val="00592A5D"/>
    <w:rsid w:val="0059479B"/>
    <w:rsid w:val="0059568C"/>
    <w:rsid w:val="005963EA"/>
    <w:rsid w:val="005977A8"/>
    <w:rsid w:val="005A14A6"/>
    <w:rsid w:val="005A19B1"/>
    <w:rsid w:val="005A2ABC"/>
    <w:rsid w:val="005A3A7B"/>
    <w:rsid w:val="005A3E2D"/>
    <w:rsid w:val="005A3F4A"/>
    <w:rsid w:val="005A42FA"/>
    <w:rsid w:val="005A5911"/>
    <w:rsid w:val="005B2B8E"/>
    <w:rsid w:val="005B5564"/>
    <w:rsid w:val="005B5958"/>
    <w:rsid w:val="005B72F1"/>
    <w:rsid w:val="005C3B36"/>
    <w:rsid w:val="005C4B36"/>
    <w:rsid w:val="005C7597"/>
    <w:rsid w:val="005D0767"/>
    <w:rsid w:val="005D0E29"/>
    <w:rsid w:val="005D0E2E"/>
    <w:rsid w:val="005D1F6C"/>
    <w:rsid w:val="005D21EB"/>
    <w:rsid w:val="005D352C"/>
    <w:rsid w:val="005D5FA7"/>
    <w:rsid w:val="005D6058"/>
    <w:rsid w:val="005D6464"/>
    <w:rsid w:val="005D7ED6"/>
    <w:rsid w:val="005E2581"/>
    <w:rsid w:val="005E2D27"/>
    <w:rsid w:val="005E39CE"/>
    <w:rsid w:val="005E4417"/>
    <w:rsid w:val="005E7A88"/>
    <w:rsid w:val="005E7BAA"/>
    <w:rsid w:val="005F1052"/>
    <w:rsid w:val="005F1EC7"/>
    <w:rsid w:val="005F2447"/>
    <w:rsid w:val="005F2460"/>
    <w:rsid w:val="005F2E86"/>
    <w:rsid w:val="005F4A54"/>
    <w:rsid w:val="005F510E"/>
    <w:rsid w:val="00600A98"/>
    <w:rsid w:val="0060101B"/>
    <w:rsid w:val="0060291F"/>
    <w:rsid w:val="00603DA9"/>
    <w:rsid w:val="00607F2B"/>
    <w:rsid w:val="006107D3"/>
    <w:rsid w:val="00610987"/>
    <w:rsid w:val="0061440A"/>
    <w:rsid w:val="00614FF8"/>
    <w:rsid w:val="006163E2"/>
    <w:rsid w:val="00616D6B"/>
    <w:rsid w:val="006200A0"/>
    <w:rsid w:val="00621439"/>
    <w:rsid w:val="00621858"/>
    <w:rsid w:val="006227F0"/>
    <w:rsid w:val="006232C7"/>
    <w:rsid w:val="00625E14"/>
    <w:rsid w:val="006275F3"/>
    <w:rsid w:val="00633085"/>
    <w:rsid w:val="00634CD8"/>
    <w:rsid w:val="00636C2F"/>
    <w:rsid w:val="00636E48"/>
    <w:rsid w:val="006371B9"/>
    <w:rsid w:val="00637FAE"/>
    <w:rsid w:val="00640321"/>
    <w:rsid w:val="00640769"/>
    <w:rsid w:val="00641AEF"/>
    <w:rsid w:val="006425DF"/>
    <w:rsid w:val="00644537"/>
    <w:rsid w:val="00644632"/>
    <w:rsid w:val="00645C0B"/>
    <w:rsid w:val="00647E4B"/>
    <w:rsid w:val="00651B7D"/>
    <w:rsid w:val="00653391"/>
    <w:rsid w:val="00653CB5"/>
    <w:rsid w:val="00655093"/>
    <w:rsid w:val="006607B4"/>
    <w:rsid w:val="00661523"/>
    <w:rsid w:val="006624F7"/>
    <w:rsid w:val="00662A12"/>
    <w:rsid w:val="006658D6"/>
    <w:rsid w:val="0066617B"/>
    <w:rsid w:val="00666481"/>
    <w:rsid w:val="00670FDE"/>
    <w:rsid w:val="00671833"/>
    <w:rsid w:val="006725EA"/>
    <w:rsid w:val="00672952"/>
    <w:rsid w:val="00673A89"/>
    <w:rsid w:val="00673D77"/>
    <w:rsid w:val="00675EB7"/>
    <w:rsid w:val="006774DF"/>
    <w:rsid w:val="00677BD6"/>
    <w:rsid w:val="0068196B"/>
    <w:rsid w:val="0068519D"/>
    <w:rsid w:val="006857C8"/>
    <w:rsid w:val="00685ABC"/>
    <w:rsid w:val="00686E86"/>
    <w:rsid w:val="006919B8"/>
    <w:rsid w:val="0069424D"/>
    <w:rsid w:val="006950E5"/>
    <w:rsid w:val="00695B46"/>
    <w:rsid w:val="00695C15"/>
    <w:rsid w:val="006A0C5E"/>
    <w:rsid w:val="006A160B"/>
    <w:rsid w:val="006A2E20"/>
    <w:rsid w:val="006A426E"/>
    <w:rsid w:val="006A4DB5"/>
    <w:rsid w:val="006A6C57"/>
    <w:rsid w:val="006A7C0D"/>
    <w:rsid w:val="006B103B"/>
    <w:rsid w:val="006B3887"/>
    <w:rsid w:val="006B79C4"/>
    <w:rsid w:val="006B7AB5"/>
    <w:rsid w:val="006C0E14"/>
    <w:rsid w:val="006C1580"/>
    <w:rsid w:val="006C16D1"/>
    <w:rsid w:val="006C1B16"/>
    <w:rsid w:val="006C317B"/>
    <w:rsid w:val="006C4BF2"/>
    <w:rsid w:val="006C5DD6"/>
    <w:rsid w:val="006C6949"/>
    <w:rsid w:val="006D134E"/>
    <w:rsid w:val="006D3201"/>
    <w:rsid w:val="006D3C0B"/>
    <w:rsid w:val="006D52C6"/>
    <w:rsid w:val="006D5DE6"/>
    <w:rsid w:val="006D633A"/>
    <w:rsid w:val="006D665F"/>
    <w:rsid w:val="006D696D"/>
    <w:rsid w:val="006D6A3B"/>
    <w:rsid w:val="006E054B"/>
    <w:rsid w:val="006E12B0"/>
    <w:rsid w:val="006E12E9"/>
    <w:rsid w:val="006E252C"/>
    <w:rsid w:val="006E4482"/>
    <w:rsid w:val="006E44DD"/>
    <w:rsid w:val="006E6C12"/>
    <w:rsid w:val="006E7084"/>
    <w:rsid w:val="006F1109"/>
    <w:rsid w:val="006F1C32"/>
    <w:rsid w:val="006F2E69"/>
    <w:rsid w:val="006F3544"/>
    <w:rsid w:val="006F5478"/>
    <w:rsid w:val="006F5E83"/>
    <w:rsid w:val="006F7B44"/>
    <w:rsid w:val="006F7BC2"/>
    <w:rsid w:val="006F7C31"/>
    <w:rsid w:val="007004CD"/>
    <w:rsid w:val="007007BB"/>
    <w:rsid w:val="00701013"/>
    <w:rsid w:val="0070257A"/>
    <w:rsid w:val="00702D64"/>
    <w:rsid w:val="00703536"/>
    <w:rsid w:val="00703B2C"/>
    <w:rsid w:val="00704A37"/>
    <w:rsid w:val="00710028"/>
    <w:rsid w:val="007108AB"/>
    <w:rsid w:val="00714347"/>
    <w:rsid w:val="0071605A"/>
    <w:rsid w:val="007170F4"/>
    <w:rsid w:val="007175B0"/>
    <w:rsid w:val="00722AA2"/>
    <w:rsid w:val="00724266"/>
    <w:rsid w:val="0072499A"/>
    <w:rsid w:val="00726111"/>
    <w:rsid w:val="00726ACF"/>
    <w:rsid w:val="007278EA"/>
    <w:rsid w:val="007301E1"/>
    <w:rsid w:val="00731044"/>
    <w:rsid w:val="007313D9"/>
    <w:rsid w:val="0073286B"/>
    <w:rsid w:val="00734AA7"/>
    <w:rsid w:val="00735322"/>
    <w:rsid w:val="007363AC"/>
    <w:rsid w:val="00736A8A"/>
    <w:rsid w:val="00737779"/>
    <w:rsid w:val="0074030C"/>
    <w:rsid w:val="00740756"/>
    <w:rsid w:val="00741569"/>
    <w:rsid w:val="0074159B"/>
    <w:rsid w:val="00741880"/>
    <w:rsid w:val="00741AF2"/>
    <w:rsid w:val="00742D5C"/>
    <w:rsid w:val="00742D6F"/>
    <w:rsid w:val="00744180"/>
    <w:rsid w:val="00744336"/>
    <w:rsid w:val="00745AD3"/>
    <w:rsid w:val="00746D11"/>
    <w:rsid w:val="00750049"/>
    <w:rsid w:val="00752325"/>
    <w:rsid w:val="00754238"/>
    <w:rsid w:val="007546C7"/>
    <w:rsid w:val="00756061"/>
    <w:rsid w:val="00756774"/>
    <w:rsid w:val="00757F82"/>
    <w:rsid w:val="00761070"/>
    <w:rsid w:val="00761CB3"/>
    <w:rsid w:val="0076259F"/>
    <w:rsid w:val="0076295E"/>
    <w:rsid w:val="00762A1E"/>
    <w:rsid w:val="00763113"/>
    <w:rsid w:val="00764CD8"/>
    <w:rsid w:val="007675F9"/>
    <w:rsid w:val="00767DCD"/>
    <w:rsid w:val="00770064"/>
    <w:rsid w:val="007701A3"/>
    <w:rsid w:val="007712C3"/>
    <w:rsid w:val="00771C42"/>
    <w:rsid w:val="00773417"/>
    <w:rsid w:val="007735E9"/>
    <w:rsid w:val="0077373B"/>
    <w:rsid w:val="007745A3"/>
    <w:rsid w:val="00774D10"/>
    <w:rsid w:val="00774E1B"/>
    <w:rsid w:val="00775191"/>
    <w:rsid w:val="0077698B"/>
    <w:rsid w:val="00776CD4"/>
    <w:rsid w:val="007772F0"/>
    <w:rsid w:val="0077796C"/>
    <w:rsid w:val="0078156F"/>
    <w:rsid w:val="00781FAA"/>
    <w:rsid w:val="0078218C"/>
    <w:rsid w:val="00784058"/>
    <w:rsid w:val="007848B7"/>
    <w:rsid w:val="00784EF7"/>
    <w:rsid w:val="00786D7C"/>
    <w:rsid w:val="00787633"/>
    <w:rsid w:val="00791F3A"/>
    <w:rsid w:val="00792A84"/>
    <w:rsid w:val="007937F6"/>
    <w:rsid w:val="0079462C"/>
    <w:rsid w:val="007951F3"/>
    <w:rsid w:val="00796D2C"/>
    <w:rsid w:val="00796F57"/>
    <w:rsid w:val="007A06E0"/>
    <w:rsid w:val="007A0CF1"/>
    <w:rsid w:val="007A20A3"/>
    <w:rsid w:val="007A368B"/>
    <w:rsid w:val="007A466D"/>
    <w:rsid w:val="007A59A2"/>
    <w:rsid w:val="007A7190"/>
    <w:rsid w:val="007A76E1"/>
    <w:rsid w:val="007B0A83"/>
    <w:rsid w:val="007B19E2"/>
    <w:rsid w:val="007B2F02"/>
    <w:rsid w:val="007B5932"/>
    <w:rsid w:val="007B5B88"/>
    <w:rsid w:val="007B67B6"/>
    <w:rsid w:val="007B6839"/>
    <w:rsid w:val="007B7B3F"/>
    <w:rsid w:val="007B7CDA"/>
    <w:rsid w:val="007C0C38"/>
    <w:rsid w:val="007C142A"/>
    <w:rsid w:val="007C2700"/>
    <w:rsid w:val="007C2B64"/>
    <w:rsid w:val="007C3010"/>
    <w:rsid w:val="007C30E5"/>
    <w:rsid w:val="007C3782"/>
    <w:rsid w:val="007C49A9"/>
    <w:rsid w:val="007C5169"/>
    <w:rsid w:val="007C75EC"/>
    <w:rsid w:val="007D0004"/>
    <w:rsid w:val="007D01A1"/>
    <w:rsid w:val="007D34D7"/>
    <w:rsid w:val="007D3E27"/>
    <w:rsid w:val="007D46CB"/>
    <w:rsid w:val="007D51E8"/>
    <w:rsid w:val="007D611D"/>
    <w:rsid w:val="007D79FF"/>
    <w:rsid w:val="007D7B1C"/>
    <w:rsid w:val="007D7BC1"/>
    <w:rsid w:val="007E030D"/>
    <w:rsid w:val="007E062F"/>
    <w:rsid w:val="007E17D2"/>
    <w:rsid w:val="007E2BC3"/>
    <w:rsid w:val="007E326D"/>
    <w:rsid w:val="007E3C1C"/>
    <w:rsid w:val="007E4056"/>
    <w:rsid w:val="007E48E2"/>
    <w:rsid w:val="007E490C"/>
    <w:rsid w:val="007E4AE8"/>
    <w:rsid w:val="007E52BC"/>
    <w:rsid w:val="007E5962"/>
    <w:rsid w:val="007E59D7"/>
    <w:rsid w:val="007E613F"/>
    <w:rsid w:val="007E669C"/>
    <w:rsid w:val="007E670F"/>
    <w:rsid w:val="007E7094"/>
    <w:rsid w:val="007E7B56"/>
    <w:rsid w:val="007F1DB9"/>
    <w:rsid w:val="007F4F79"/>
    <w:rsid w:val="007F55CC"/>
    <w:rsid w:val="007F6F4E"/>
    <w:rsid w:val="008037D2"/>
    <w:rsid w:val="008041EC"/>
    <w:rsid w:val="008049B9"/>
    <w:rsid w:val="00804CDD"/>
    <w:rsid w:val="00804E21"/>
    <w:rsid w:val="0080591A"/>
    <w:rsid w:val="00806990"/>
    <w:rsid w:val="00806EBF"/>
    <w:rsid w:val="00810D99"/>
    <w:rsid w:val="00811CB9"/>
    <w:rsid w:val="008122B3"/>
    <w:rsid w:val="00813E09"/>
    <w:rsid w:val="00814C1B"/>
    <w:rsid w:val="00815153"/>
    <w:rsid w:val="00815A02"/>
    <w:rsid w:val="00816AF4"/>
    <w:rsid w:val="00817F0C"/>
    <w:rsid w:val="0082342A"/>
    <w:rsid w:val="00824023"/>
    <w:rsid w:val="00824F11"/>
    <w:rsid w:val="0082601E"/>
    <w:rsid w:val="0083037C"/>
    <w:rsid w:val="0083184D"/>
    <w:rsid w:val="008369C6"/>
    <w:rsid w:val="00840CD4"/>
    <w:rsid w:val="00841633"/>
    <w:rsid w:val="008421E8"/>
    <w:rsid w:val="0084329C"/>
    <w:rsid w:val="00843434"/>
    <w:rsid w:val="008452B6"/>
    <w:rsid w:val="00846E98"/>
    <w:rsid w:val="0085008D"/>
    <w:rsid w:val="00851346"/>
    <w:rsid w:val="0085210B"/>
    <w:rsid w:val="008558E7"/>
    <w:rsid w:val="008559AB"/>
    <w:rsid w:val="008567AC"/>
    <w:rsid w:val="008573AA"/>
    <w:rsid w:val="00860543"/>
    <w:rsid w:val="0086092E"/>
    <w:rsid w:val="00862086"/>
    <w:rsid w:val="00862DD4"/>
    <w:rsid w:val="00863570"/>
    <w:rsid w:val="00863F91"/>
    <w:rsid w:val="00864240"/>
    <w:rsid w:val="00864BA4"/>
    <w:rsid w:val="00865C96"/>
    <w:rsid w:val="00866592"/>
    <w:rsid w:val="00866917"/>
    <w:rsid w:val="00867280"/>
    <w:rsid w:val="008675D0"/>
    <w:rsid w:val="00867C1D"/>
    <w:rsid w:val="00870312"/>
    <w:rsid w:val="00870E9B"/>
    <w:rsid w:val="00877055"/>
    <w:rsid w:val="0088022C"/>
    <w:rsid w:val="00880FC3"/>
    <w:rsid w:val="00883135"/>
    <w:rsid w:val="0088447A"/>
    <w:rsid w:val="008847F5"/>
    <w:rsid w:val="008856DC"/>
    <w:rsid w:val="00892658"/>
    <w:rsid w:val="0089472B"/>
    <w:rsid w:val="00894CB5"/>
    <w:rsid w:val="00894E90"/>
    <w:rsid w:val="008962F1"/>
    <w:rsid w:val="00896359"/>
    <w:rsid w:val="008A0010"/>
    <w:rsid w:val="008A3044"/>
    <w:rsid w:val="008A3695"/>
    <w:rsid w:val="008A43F0"/>
    <w:rsid w:val="008A4C4D"/>
    <w:rsid w:val="008A4CA6"/>
    <w:rsid w:val="008A6F2C"/>
    <w:rsid w:val="008B020A"/>
    <w:rsid w:val="008B1010"/>
    <w:rsid w:val="008B1CCC"/>
    <w:rsid w:val="008B4BF4"/>
    <w:rsid w:val="008B69DE"/>
    <w:rsid w:val="008C0510"/>
    <w:rsid w:val="008C0CB7"/>
    <w:rsid w:val="008C1F79"/>
    <w:rsid w:val="008C3698"/>
    <w:rsid w:val="008D0383"/>
    <w:rsid w:val="008D04B9"/>
    <w:rsid w:val="008D0A50"/>
    <w:rsid w:val="008D143A"/>
    <w:rsid w:val="008D1C8D"/>
    <w:rsid w:val="008D28A4"/>
    <w:rsid w:val="008D4761"/>
    <w:rsid w:val="008D48E6"/>
    <w:rsid w:val="008E3A14"/>
    <w:rsid w:val="008E5516"/>
    <w:rsid w:val="008F07C8"/>
    <w:rsid w:val="008F081B"/>
    <w:rsid w:val="008F10F5"/>
    <w:rsid w:val="008F200C"/>
    <w:rsid w:val="008F2025"/>
    <w:rsid w:val="008F2C09"/>
    <w:rsid w:val="008F5DA7"/>
    <w:rsid w:val="008F6769"/>
    <w:rsid w:val="008F6AE4"/>
    <w:rsid w:val="009024A5"/>
    <w:rsid w:val="00902923"/>
    <w:rsid w:val="00904EE2"/>
    <w:rsid w:val="00906838"/>
    <w:rsid w:val="00906E6A"/>
    <w:rsid w:val="00907257"/>
    <w:rsid w:val="00907D81"/>
    <w:rsid w:val="00910D30"/>
    <w:rsid w:val="009159AA"/>
    <w:rsid w:val="009168EA"/>
    <w:rsid w:val="00916E6D"/>
    <w:rsid w:val="009178D8"/>
    <w:rsid w:val="00920541"/>
    <w:rsid w:val="00920E70"/>
    <w:rsid w:val="00922008"/>
    <w:rsid w:val="00922DBA"/>
    <w:rsid w:val="00923704"/>
    <w:rsid w:val="0092401C"/>
    <w:rsid w:val="00925EA7"/>
    <w:rsid w:val="009262BC"/>
    <w:rsid w:val="00927759"/>
    <w:rsid w:val="00927A44"/>
    <w:rsid w:val="00931E36"/>
    <w:rsid w:val="009352F9"/>
    <w:rsid w:val="009354CE"/>
    <w:rsid w:val="009369DE"/>
    <w:rsid w:val="00936D72"/>
    <w:rsid w:val="00937E53"/>
    <w:rsid w:val="0094025D"/>
    <w:rsid w:val="00941342"/>
    <w:rsid w:val="009422AC"/>
    <w:rsid w:val="0094284A"/>
    <w:rsid w:val="009435A8"/>
    <w:rsid w:val="00944331"/>
    <w:rsid w:val="00947350"/>
    <w:rsid w:val="00947CDB"/>
    <w:rsid w:val="00951969"/>
    <w:rsid w:val="00951A1D"/>
    <w:rsid w:val="009531D2"/>
    <w:rsid w:val="00953728"/>
    <w:rsid w:val="009537A4"/>
    <w:rsid w:val="00953CFD"/>
    <w:rsid w:val="0095426C"/>
    <w:rsid w:val="0095662D"/>
    <w:rsid w:val="00961AFB"/>
    <w:rsid w:val="0096337B"/>
    <w:rsid w:val="0096381C"/>
    <w:rsid w:val="00964660"/>
    <w:rsid w:val="00964808"/>
    <w:rsid w:val="00971D72"/>
    <w:rsid w:val="00974487"/>
    <w:rsid w:val="009747EE"/>
    <w:rsid w:val="00975A02"/>
    <w:rsid w:val="009762F3"/>
    <w:rsid w:val="00976803"/>
    <w:rsid w:val="0098008B"/>
    <w:rsid w:val="009801E5"/>
    <w:rsid w:val="009806F7"/>
    <w:rsid w:val="009819D4"/>
    <w:rsid w:val="00981C16"/>
    <w:rsid w:val="00981D8D"/>
    <w:rsid w:val="00982652"/>
    <w:rsid w:val="009834BE"/>
    <w:rsid w:val="009844C1"/>
    <w:rsid w:val="00984E30"/>
    <w:rsid w:val="00984EF5"/>
    <w:rsid w:val="00985B3B"/>
    <w:rsid w:val="009874A4"/>
    <w:rsid w:val="009878D6"/>
    <w:rsid w:val="00987AB0"/>
    <w:rsid w:val="009919AD"/>
    <w:rsid w:val="00991AD1"/>
    <w:rsid w:val="00991F34"/>
    <w:rsid w:val="00992658"/>
    <w:rsid w:val="00992E4A"/>
    <w:rsid w:val="00992FD8"/>
    <w:rsid w:val="009932B7"/>
    <w:rsid w:val="00994813"/>
    <w:rsid w:val="00995253"/>
    <w:rsid w:val="0099539E"/>
    <w:rsid w:val="00997EF8"/>
    <w:rsid w:val="009A056E"/>
    <w:rsid w:val="009A7A5F"/>
    <w:rsid w:val="009B0759"/>
    <w:rsid w:val="009B145B"/>
    <w:rsid w:val="009B213D"/>
    <w:rsid w:val="009B3750"/>
    <w:rsid w:val="009B673A"/>
    <w:rsid w:val="009B731C"/>
    <w:rsid w:val="009C064B"/>
    <w:rsid w:val="009C1842"/>
    <w:rsid w:val="009C33EB"/>
    <w:rsid w:val="009C38F1"/>
    <w:rsid w:val="009C3A2E"/>
    <w:rsid w:val="009C4348"/>
    <w:rsid w:val="009C4EAC"/>
    <w:rsid w:val="009C54F2"/>
    <w:rsid w:val="009C590B"/>
    <w:rsid w:val="009C73CF"/>
    <w:rsid w:val="009D04DC"/>
    <w:rsid w:val="009D1B77"/>
    <w:rsid w:val="009D2AB2"/>
    <w:rsid w:val="009D52C0"/>
    <w:rsid w:val="009D643B"/>
    <w:rsid w:val="009E00A8"/>
    <w:rsid w:val="009E0C76"/>
    <w:rsid w:val="009E1C3C"/>
    <w:rsid w:val="009E1CD8"/>
    <w:rsid w:val="009E3481"/>
    <w:rsid w:val="009E44A6"/>
    <w:rsid w:val="009E4D8C"/>
    <w:rsid w:val="009E5484"/>
    <w:rsid w:val="009E54BF"/>
    <w:rsid w:val="009E6153"/>
    <w:rsid w:val="009E6372"/>
    <w:rsid w:val="009E64E5"/>
    <w:rsid w:val="009E718B"/>
    <w:rsid w:val="009E71D2"/>
    <w:rsid w:val="009E7246"/>
    <w:rsid w:val="009F0199"/>
    <w:rsid w:val="009F21B0"/>
    <w:rsid w:val="009F47FC"/>
    <w:rsid w:val="009F4D17"/>
    <w:rsid w:val="009F5D68"/>
    <w:rsid w:val="00A00A3B"/>
    <w:rsid w:val="00A03B29"/>
    <w:rsid w:val="00A03CBB"/>
    <w:rsid w:val="00A03EFE"/>
    <w:rsid w:val="00A076F9"/>
    <w:rsid w:val="00A10C51"/>
    <w:rsid w:val="00A1367D"/>
    <w:rsid w:val="00A15405"/>
    <w:rsid w:val="00A15969"/>
    <w:rsid w:val="00A15A6C"/>
    <w:rsid w:val="00A20890"/>
    <w:rsid w:val="00A22076"/>
    <w:rsid w:val="00A24C40"/>
    <w:rsid w:val="00A257EC"/>
    <w:rsid w:val="00A25AFA"/>
    <w:rsid w:val="00A30D3B"/>
    <w:rsid w:val="00A31A4A"/>
    <w:rsid w:val="00A33540"/>
    <w:rsid w:val="00A3401B"/>
    <w:rsid w:val="00A353C6"/>
    <w:rsid w:val="00A362BC"/>
    <w:rsid w:val="00A369FA"/>
    <w:rsid w:val="00A36D39"/>
    <w:rsid w:val="00A375D5"/>
    <w:rsid w:val="00A379C9"/>
    <w:rsid w:val="00A37CC7"/>
    <w:rsid w:val="00A37DD5"/>
    <w:rsid w:val="00A4259F"/>
    <w:rsid w:val="00A42610"/>
    <w:rsid w:val="00A42B9F"/>
    <w:rsid w:val="00A42EB6"/>
    <w:rsid w:val="00A45B5F"/>
    <w:rsid w:val="00A45E3D"/>
    <w:rsid w:val="00A46A5D"/>
    <w:rsid w:val="00A46B5C"/>
    <w:rsid w:val="00A4724E"/>
    <w:rsid w:val="00A4768C"/>
    <w:rsid w:val="00A5117E"/>
    <w:rsid w:val="00A5119D"/>
    <w:rsid w:val="00A51D79"/>
    <w:rsid w:val="00A51DB1"/>
    <w:rsid w:val="00A53E5C"/>
    <w:rsid w:val="00A557A0"/>
    <w:rsid w:val="00A562F7"/>
    <w:rsid w:val="00A6319D"/>
    <w:rsid w:val="00A63CDB"/>
    <w:rsid w:val="00A64332"/>
    <w:rsid w:val="00A66587"/>
    <w:rsid w:val="00A67496"/>
    <w:rsid w:val="00A7022C"/>
    <w:rsid w:val="00A705EA"/>
    <w:rsid w:val="00A70CC2"/>
    <w:rsid w:val="00A71568"/>
    <w:rsid w:val="00A742F2"/>
    <w:rsid w:val="00A742F5"/>
    <w:rsid w:val="00A77117"/>
    <w:rsid w:val="00A77FC5"/>
    <w:rsid w:val="00A8068F"/>
    <w:rsid w:val="00A81F04"/>
    <w:rsid w:val="00A824DA"/>
    <w:rsid w:val="00A82B0E"/>
    <w:rsid w:val="00A87055"/>
    <w:rsid w:val="00A91FA8"/>
    <w:rsid w:val="00A94F0A"/>
    <w:rsid w:val="00A95558"/>
    <w:rsid w:val="00A95651"/>
    <w:rsid w:val="00A965BA"/>
    <w:rsid w:val="00A970CD"/>
    <w:rsid w:val="00A97CFD"/>
    <w:rsid w:val="00AA094F"/>
    <w:rsid w:val="00AA2212"/>
    <w:rsid w:val="00AA3F3B"/>
    <w:rsid w:val="00AA4915"/>
    <w:rsid w:val="00AA56FE"/>
    <w:rsid w:val="00AA67FC"/>
    <w:rsid w:val="00AB1373"/>
    <w:rsid w:val="00AB15F2"/>
    <w:rsid w:val="00AB3660"/>
    <w:rsid w:val="00AB4793"/>
    <w:rsid w:val="00AB479D"/>
    <w:rsid w:val="00AB5E81"/>
    <w:rsid w:val="00AB623A"/>
    <w:rsid w:val="00AB666F"/>
    <w:rsid w:val="00AB673D"/>
    <w:rsid w:val="00AB6873"/>
    <w:rsid w:val="00AB7BEE"/>
    <w:rsid w:val="00AC0404"/>
    <w:rsid w:val="00AC1996"/>
    <w:rsid w:val="00AC3661"/>
    <w:rsid w:val="00AC3CD6"/>
    <w:rsid w:val="00AD0102"/>
    <w:rsid w:val="00AD0E02"/>
    <w:rsid w:val="00AD13BE"/>
    <w:rsid w:val="00AD170C"/>
    <w:rsid w:val="00AD1E9F"/>
    <w:rsid w:val="00AD204E"/>
    <w:rsid w:val="00AD23C6"/>
    <w:rsid w:val="00AD2624"/>
    <w:rsid w:val="00AD29D9"/>
    <w:rsid w:val="00AD458B"/>
    <w:rsid w:val="00AD50DC"/>
    <w:rsid w:val="00AD5B17"/>
    <w:rsid w:val="00AD7F5F"/>
    <w:rsid w:val="00AE475A"/>
    <w:rsid w:val="00AE5295"/>
    <w:rsid w:val="00AE5DC0"/>
    <w:rsid w:val="00AE6960"/>
    <w:rsid w:val="00AE71F1"/>
    <w:rsid w:val="00AE7BD4"/>
    <w:rsid w:val="00AF087C"/>
    <w:rsid w:val="00AF0AEE"/>
    <w:rsid w:val="00AF0FFE"/>
    <w:rsid w:val="00AF1600"/>
    <w:rsid w:val="00AF1A8B"/>
    <w:rsid w:val="00AF289A"/>
    <w:rsid w:val="00AF3574"/>
    <w:rsid w:val="00AF42F8"/>
    <w:rsid w:val="00AF6345"/>
    <w:rsid w:val="00AF645D"/>
    <w:rsid w:val="00AF6756"/>
    <w:rsid w:val="00AF6CE3"/>
    <w:rsid w:val="00B00377"/>
    <w:rsid w:val="00B00B3F"/>
    <w:rsid w:val="00B01B56"/>
    <w:rsid w:val="00B0212F"/>
    <w:rsid w:val="00B027B2"/>
    <w:rsid w:val="00B031B4"/>
    <w:rsid w:val="00B04E82"/>
    <w:rsid w:val="00B050CB"/>
    <w:rsid w:val="00B0686F"/>
    <w:rsid w:val="00B13336"/>
    <w:rsid w:val="00B133E8"/>
    <w:rsid w:val="00B13C35"/>
    <w:rsid w:val="00B13E39"/>
    <w:rsid w:val="00B140D6"/>
    <w:rsid w:val="00B20492"/>
    <w:rsid w:val="00B20885"/>
    <w:rsid w:val="00B235DE"/>
    <w:rsid w:val="00B242AC"/>
    <w:rsid w:val="00B2457C"/>
    <w:rsid w:val="00B25480"/>
    <w:rsid w:val="00B26E92"/>
    <w:rsid w:val="00B27C86"/>
    <w:rsid w:val="00B30207"/>
    <w:rsid w:val="00B308DF"/>
    <w:rsid w:val="00B3102D"/>
    <w:rsid w:val="00B32921"/>
    <w:rsid w:val="00B3528A"/>
    <w:rsid w:val="00B40099"/>
    <w:rsid w:val="00B431C7"/>
    <w:rsid w:val="00B432F9"/>
    <w:rsid w:val="00B43387"/>
    <w:rsid w:val="00B44613"/>
    <w:rsid w:val="00B44A69"/>
    <w:rsid w:val="00B44DC3"/>
    <w:rsid w:val="00B464E4"/>
    <w:rsid w:val="00B47251"/>
    <w:rsid w:val="00B47839"/>
    <w:rsid w:val="00B50595"/>
    <w:rsid w:val="00B50780"/>
    <w:rsid w:val="00B52403"/>
    <w:rsid w:val="00B52588"/>
    <w:rsid w:val="00B549C2"/>
    <w:rsid w:val="00B56BD3"/>
    <w:rsid w:val="00B57986"/>
    <w:rsid w:val="00B57AE2"/>
    <w:rsid w:val="00B610AF"/>
    <w:rsid w:val="00B617AB"/>
    <w:rsid w:val="00B633A7"/>
    <w:rsid w:val="00B641EF"/>
    <w:rsid w:val="00B66FB4"/>
    <w:rsid w:val="00B70552"/>
    <w:rsid w:val="00B72E4C"/>
    <w:rsid w:val="00B811A0"/>
    <w:rsid w:val="00B83DFA"/>
    <w:rsid w:val="00B86045"/>
    <w:rsid w:val="00B86235"/>
    <w:rsid w:val="00B867B4"/>
    <w:rsid w:val="00B86B6A"/>
    <w:rsid w:val="00B871F8"/>
    <w:rsid w:val="00B87CAA"/>
    <w:rsid w:val="00B9047D"/>
    <w:rsid w:val="00B90867"/>
    <w:rsid w:val="00B913B3"/>
    <w:rsid w:val="00B92B9F"/>
    <w:rsid w:val="00B957B7"/>
    <w:rsid w:val="00B964A6"/>
    <w:rsid w:val="00B9667C"/>
    <w:rsid w:val="00B96984"/>
    <w:rsid w:val="00BA0AE6"/>
    <w:rsid w:val="00BA0FF7"/>
    <w:rsid w:val="00BA1BB0"/>
    <w:rsid w:val="00BA2A6A"/>
    <w:rsid w:val="00BA2A90"/>
    <w:rsid w:val="00BA368E"/>
    <w:rsid w:val="00BA476E"/>
    <w:rsid w:val="00BA494D"/>
    <w:rsid w:val="00BA4A07"/>
    <w:rsid w:val="00BB13B3"/>
    <w:rsid w:val="00BB5885"/>
    <w:rsid w:val="00BB6744"/>
    <w:rsid w:val="00BB74BB"/>
    <w:rsid w:val="00BB7B77"/>
    <w:rsid w:val="00BC0304"/>
    <w:rsid w:val="00BC14B8"/>
    <w:rsid w:val="00BC273C"/>
    <w:rsid w:val="00BC3384"/>
    <w:rsid w:val="00BC399C"/>
    <w:rsid w:val="00BC442A"/>
    <w:rsid w:val="00BC5416"/>
    <w:rsid w:val="00BC5F40"/>
    <w:rsid w:val="00BC605A"/>
    <w:rsid w:val="00BC6962"/>
    <w:rsid w:val="00BC7B88"/>
    <w:rsid w:val="00BD0EF2"/>
    <w:rsid w:val="00BD2249"/>
    <w:rsid w:val="00BD277D"/>
    <w:rsid w:val="00BD27AB"/>
    <w:rsid w:val="00BD3E63"/>
    <w:rsid w:val="00BD6896"/>
    <w:rsid w:val="00BD6E72"/>
    <w:rsid w:val="00BE2BC4"/>
    <w:rsid w:val="00BE2C9F"/>
    <w:rsid w:val="00BE2F47"/>
    <w:rsid w:val="00BE5F89"/>
    <w:rsid w:val="00BE6539"/>
    <w:rsid w:val="00BE7A62"/>
    <w:rsid w:val="00BF16C3"/>
    <w:rsid w:val="00BF1EEA"/>
    <w:rsid w:val="00BF4233"/>
    <w:rsid w:val="00BF5544"/>
    <w:rsid w:val="00BF7E96"/>
    <w:rsid w:val="00C013DF"/>
    <w:rsid w:val="00C02050"/>
    <w:rsid w:val="00C03DB8"/>
    <w:rsid w:val="00C03E5A"/>
    <w:rsid w:val="00C040AE"/>
    <w:rsid w:val="00C0612D"/>
    <w:rsid w:val="00C1046E"/>
    <w:rsid w:val="00C10DBE"/>
    <w:rsid w:val="00C16865"/>
    <w:rsid w:val="00C16886"/>
    <w:rsid w:val="00C171B6"/>
    <w:rsid w:val="00C22A07"/>
    <w:rsid w:val="00C232BD"/>
    <w:rsid w:val="00C233FD"/>
    <w:rsid w:val="00C23A50"/>
    <w:rsid w:val="00C24A22"/>
    <w:rsid w:val="00C25FDF"/>
    <w:rsid w:val="00C267E8"/>
    <w:rsid w:val="00C30E24"/>
    <w:rsid w:val="00C35E7C"/>
    <w:rsid w:val="00C362E0"/>
    <w:rsid w:val="00C37272"/>
    <w:rsid w:val="00C376D9"/>
    <w:rsid w:val="00C37CC5"/>
    <w:rsid w:val="00C40A94"/>
    <w:rsid w:val="00C40FB3"/>
    <w:rsid w:val="00C40FE5"/>
    <w:rsid w:val="00C45C08"/>
    <w:rsid w:val="00C465A1"/>
    <w:rsid w:val="00C467CA"/>
    <w:rsid w:val="00C467F1"/>
    <w:rsid w:val="00C504C2"/>
    <w:rsid w:val="00C50535"/>
    <w:rsid w:val="00C50B4A"/>
    <w:rsid w:val="00C50BAF"/>
    <w:rsid w:val="00C50EB5"/>
    <w:rsid w:val="00C51D2B"/>
    <w:rsid w:val="00C52974"/>
    <w:rsid w:val="00C5433F"/>
    <w:rsid w:val="00C54ADA"/>
    <w:rsid w:val="00C56D5D"/>
    <w:rsid w:val="00C57807"/>
    <w:rsid w:val="00C579E8"/>
    <w:rsid w:val="00C57E1E"/>
    <w:rsid w:val="00C60CB8"/>
    <w:rsid w:val="00C6365C"/>
    <w:rsid w:val="00C64040"/>
    <w:rsid w:val="00C6501C"/>
    <w:rsid w:val="00C65493"/>
    <w:rsid w:val="00C66396"/>
    <w:rsid w:val="00C674A7"/>
    <w:rsid w:val="00C71B26"/>
    <w:rsid w:val="00C74CDC"/>
    <w:rsid w:val="00C76287"/>
    <w:rsid w:val="00C76304"/>
    <w:rsid w:val="00C76552"/>
    <w:rsid w:val="00C768A1"/>
    <w:rsid w:val="00C813D3"/>
    <w:rsid w:val="00C836E6"/>
    <w:rsid w:val="00C83DC8"/>
    <w:rsid w:val="00C84089"/>
    <w:rsid w:val="00C84579"/>
    <w:rsid w:val="00C8461F"/>
    <w:rsid w:val="00C84979"/>
    <w:rsid w:val="00C85880"/>
    <w:rsid w:val="00C86807"/>
    <w:rsid w:val="00C87206"/>
    <w:rsid w:val="00C87DF1"/>
    <w:rsid w:val="00C92B11"/>
    <w:rsid w:val="00C9470A"/>
    <w:rsid w:val="00C96279"/>
    <w:rsid w:val="00CA0A34"/>
    <w:rsid w:val="00CA2DA3"/>
    <w:rsid w:val="00CA389C"/>
    <w:rsid w:val="00CA603E"/>
    <w:rsid w:val="00CA6B02"/>
    <w:rsid w:val="00CA6C11"/>
    <w:rsid w:val="00CA7E71"/>
    <w:rsid w:val="00CB0D59"/>
    <w:rsid w:val="00CB1B41"/>
    <w:rsid w:val="00CB2024"/>
    <w:rsid w:val="00CB236B"/>
    <w:rsid w:val="00CB2A71"/>
    <w:rsid w:val="00CB39B1"/>
    <w:rsid w:val="00CB501D"/>
    <w:rsid w:val="00CB5BE5"/>
    <w:rsid w:val="00CB5D18"/>
    <w:rsid w:val="00CC2565"/>
    <w:rsid w:val="00CC31F5"/>
    <w:rsid w:val="00CC35A4"/>
    <w:rsid w:val="00CC3828"/>
    <w:rsid w:val="00CC39D8"/>
    <w:rsid w:val="00CC67F8"/>
    <w:rsid w:val="00CC6A4D"/>
    <w:rsid w:val="00CC70DC"/>
    <w:rsid w:val="00CD07CF"/>
    <w:rsid w:val="00CD0F99"/>
    <w:rsid w:val="00CD23A0"/>
    <w:rsid w:val="00CD3560"/>
    <w:rsid w:val="00CD38CE"/>
    <w:rsid w:val="00CD3B37"/>
    <w:rsid w:val="00CD4643"/>
    <w:rsid w:val="00CD7E87"/>
    <w:rsid w:val="00CE08A5"/>
    <w:rsid w:val="00CE12E6"/>
    <w:rsid w:val="00CE2919"/>
    <w:rsid w:val="00CE33BE"/>
    <w:rsid w:val="00CE34F3"/>
    <w:rsid w:val="00CE3A79"/>
    <w:rsid w:val="00CE5C10"/>
    <w:rsid w:val="00CE7D26"/>
    <w:rsid w:val="00CF027C"/>
    <w:rsid w:val="00CF03C2"/>
    <w:rsid w:val="00CF03E9"/>
    <w:rsid w:val="00CF4336"/>
    <w:rsid w:val="00CF6765"/>
    <w:rsid w:val="00CF6788"/>
    <w:rsid w:val="00D001DF"/>
    <w:rsid w:val="00D00629"/>
    <w:rsid w:val="00D01966"/>
    <w:rsid w:val="00D024CA"/>
    <w:rsid w:val="00D03CD5"/>
    <w:rsid w:val="00D0471A"/>
    <w:rsid w:val="00D04757"/>
    <w:rsid w:val="00D05C40"/>
    <w:rsid w:val="00D06F23"/>
    <w:rsid w:val="00D10532"/>
    <w:rsid w:val="00D106E4"/>
    <w:rsid w:val="00D123B7"/>
    <w:rsid w:val="00D12502"/>
    <w:rsid w:val="00D12786"/>
    <w:rsid w:val="00D14683"/>
    <w:rsid w:val="00D20D73"/>
    <w:rsid w:val="00D20E64"/>
    <w:rsid w:val="00D2168B"/>
    <w:rsid w:val="00D2358E"/>
    <w:rsid w:val="00D24C0D"/>
    <w:rsid w:val="00D24EDA"/>
    <w:rsid w:val="00D25E59"/>
    <w:rsid w:val="00D27992"/>
    <w:rsid w:val="00D30E63"/>
    <w:rsid w:val="00D312E1"/>
    <w:rsid w:val="00D31624"/>
    <w:rsid w:val="00D34979"/>
    <w:rsid w:val="00D35D9C"/>
    <w:rsid w:val="00D36351"/>
    <w:rsid w:val="00D36CB0"/>
    <w:rsid w:val="00D4017C"/>
    <w:rsid w:val="00D42D25"/>
    <w:rsid w:val="00D45F7F"/>
    <w:rsid w:val="00D4738B"/>
    <w:rsid w:val="00D50263"/>
    <w:rsid w:val="00D51EF1"/>
    <w:rsid w:val="00D548A6"/>
    <w:rsid w:val="00D560CF"/>
    <w:rsid w:val="00D562D4"/>
    <w:rsid w:val="00D5668D"/>
    <w:rsid w:val="00D570AE"/>
    <w:rsid w:val="00D578E1"/>
    <w:rsid w:val="00D6079A"/>
    <w:rsid w:val="00D60EE6"/>
    <w:rsid w:val="00D62D41"/>
    <w:rsid w:val="00D66F0A"/>
    <w:rsid w:val="00D67201"/>
    <w:rsid w:val="00D67745"/>
    <w:rsid w:val="00D7037E"/>
    <w:rsid w:val="00D72C48"/>
    <w:rsid w:val="00D74ED7"/>
    <w:rsid w:val="00D75064"/>
    <w:rsid w:val="00D76993"/>
    <w:rsid w:val="00D76A71"/>
    <w:rsid w:val="00D8055E"/>
    <w:rsid w:val="00D808AE"/>
    <w:rsid w:val="00D80C31"/>
    <w:rsid w:val="00D83F07"/>
    <w:rsid w:val="00D84044"/>
    <w:rsid w:val="00D85F11"/>
    <w:rsid w:val="00D86AFF"/>
    <w:rsid w:val="00D86BA0"/>
    <w:rsid w:val="00D86E46"/>
    <w:rsid w:val="00D8729D"/>
    <w:rsid w:val="00D9113C"/>
    <w:rsid w:val="00D934DB"/>
    <w:rsid w:val="00D94029"/>
    <w:rsid w:val="00D942D1"/>
    <w:rsid w:val="00DA0180"/>
    <w:rsid w:val="00DA0319"/>
    <w:rsid w:val="00DA0426"/>
    <w:rsid w:val="00DA0CEE"/>
    <w:rsid w:val="00DA31E3"/>
    <w:rsid w:val="00DA3218"/>
    <w:rsid w:val="00DA56A9"/>
    <w:rsid w:val="00DA6F83"/>
    <w:rsid w:val="00DA7892"/>
    <w:rsid w:val="00DA7CE4"/>
    <w:rsid w:val="00DB0306"/>
    <w:rsid w:val="00DB2069"/>
    <w:rsid w:val="00DB2F58"/>
    <w:rsid w:val="00DB3721"/>
    <w:rsid w:val="00DB49BC"/>
    <w:rsid w:val="00DB51A6"/>
    <w:rsid w:val="00DB5809"/>
    <w:rsid w:val="00DB5DC2"/>
    <w:rsid w:val="00DB684C"/>
    <w:rsid w:val="00DB7487"/>
    <w:rsid w:val="00DB7FFD"/>
    <w:rsid w:val="00DC091C"/>
    <w:rsid w:val="00DC16B6"/>
    <w:rsid w:val="00DC24BB"/>
    <w:rsid w:val="00DC3341"/>
    <w:rsid w:val="00DC3D61"/>
    <w:rsid w:val="00DC5C5C"/>
    <w:rsid w:val="00DD0CBB"/>
    <w:rsid w:val="00DD2B19"/>
    <w:rsid w:val="00DD2C5F"/>
    <w:rsid w:val="00DD45E8"/>
    <w:rsid w:val="00DD49AA"/>
    <w:rsid w:val="00DD4AFF"/>
    <w:rsid w:val="00DD5352"/>
    <w:rsid w:val="00DD595E"/>
    <w:rsid w:val="00DD73CE"/>
    <w:rsid w:val="00DE1380"/>
    <w:rsid w:val="00DE15BC"/>
    <w:rsid w:val="00DE31CC"/>
    <w:rsid w:val="00DE4AFC"/>
    <w:rsid w:val="00DE4DED"/>
    <w:rsid w:val="00DE6873"/>
    <w:rsid w:val="00DE70E0"/>
    <w:rsid w:val="00DF028F"/>
    <w:rsid w:val="00DF1108"/>
    <w:rsid w:val="00DF134A"/>
    <w:rsid w:val="00DF1AAD"/>
    <w:rsid w:val="00DF1AEF"/>
    <w:rsid w:val="00DF40BC"/>
    <w:rsid w:val="00DF540D"/>
    <w:rsid w:val="00DF5E4E"/>
    <w:rsid w:val="00DF5EC4"/>
    <w:rsid w:val="00DF7E6B"/>
    <w:rsid w:val="00DF7F5B"/>
    <w:rsid w:val="00E02326"/>
    <w:rsid w:val="00E02776"/>
    <w:rsid w:val="00E02803"/>
    <w:rsid w:val="00E02954"/>
    <w:rsid w:val="00E029A2"/>
    <w:rsid w:val="00E02A06"/>
    <w:rsid w:val="00E03977"/>
    <w:rsid w:val="00E03B85"/>
    <w:rsid w:val="00E04EF4"/>
    <w:rsid w:val="00E1424A"/>
    <w:rsid w:val="00E14311"/>
    <w:rsid w:val="00E147BC"/>
    <w:rsid w:val="00E14DB1"/>
    <w:rsid w:val="00E14FC6"/>
    <w:rsid w:val="00E16045"/>
    <w:rsid w:val="00E1625F"/>
    <w:rsid w:val="00E1699A"/>
    <w:rsid w:val="00E172DD"/>
    <w:rsid w:val="00E1737F"/>
    <w:rsid w:val="00E210FC"/>
    <w:rsid w:val="00E21616"/>
    <w:rsid w:val="00E21ED5"/>
    <w:rsid w:val="00E22CAA"/>
    <w:rsid w:val="00E22EC9"/>
    <w:rsid w:val="00E2361C"/>
    <w:rsid w:val="00E23A53"/>
    <w:rsid w:val="00E2464C"/>
    <w:rsid w:val="00E246D2"/>
    <w:rsid w:val="00E24C46"/>
    <w:rsid w:val="00E252BE"/>
    <w:rsid w:val="00E25C47"/>
    <w:rsid w:val="00E2604D"/>
    <w:rsid w:val="00E2633A"/>
    <w:rsid w:val="00E26EEE"/>
    <w:rsid w:val="00E272E0"/>
    <w:rsid w:val="00E273DB"/>
    <w:rsid w:val="00E30F1A"/>
    <w:rsid w:val="00E3340B"/>
    <w:rsid w:val="00E33C34"/>
    <w:rsid w:val="00E34AB3"/>
    <w:rsid w:val="00E35086"/>
    <w:rsid w:val="00E36F58"/>
    <w:rsid w:val="00E3792C"/>
    <w:rsid w:val="00E40079"/>
    <w:rsid w:val="00E40EC7"/>
    <w:rsid w:val="00E4292D"/>
    <w:rsid w:val="00E43A59"/>
    <w:rsid w:val="00E44564"/>
    <w:rsid w:val="00E44971"/>
    <w:rsid w:val="00E44EFB"/>
    <w:rsid w:val="00E46EB9"/>
    <w:rsid w:val="00E4766C"/>
    <w:rsid w:val="00E47E5B"/>
    <w:rsid w:val="00E507AC"/>
    <w:rsid w:val="00E51353"/>
    <w:rsid w:val="00E51401"/>
    <w:rsid w:val="00E520C3"/>
    <w:rsid w:val="00E52784"/>
    <w:rsid w:val="00E52918"/>
    <w:rsid w:val="00E551E8"/>
    <w:rsid w:val="00E5554B"/>
    <w:rsid w:val="00E607E8"/>
    <w:rsid w:val="00E61ED0"/>
    <w:rsid w:val="00E62D9F"/>
    <w:rsid w:val="00E639D1"/>
    <w:rsid w:val="00E66ADA"/>
    <w:rsid w:val="00E6775D"/>
    <w:rsid w:val="00E70B7F"/>
    <w:rsid w:val="00E7157A"/>
    <w:rsid w:val="00E71996"/>
    <w:rsid w:val="00E7247D"/>
    <w:rsid w:val="00E74400"/>
    <w:rsid w:val="00E803E4"/>
    <w:rsid w:val="00E81036"/>
    <w:rsid w:val="00E8127A"/>
    <w:rsid w:val="00E81787"/>
    <w:rsid w:val="00E85BD7"/>
    <w:rsid w:val="00E86816"/>
    <w:rsid w:val="00E8791E"/>
    <w:rsid w:val="00E90A86"/>
    <w:rsid w:val="00E92F6F"/>
    <w:rsid w:val="00E93692"/>
    <w:rsid w:val="00E9781C"/>
    <w:rsid w:val="00E97D02"/>
    <w:rsid w:val="00EA03D0"/>
    <w:rsid w:val="00EA0812"/>
    <w:rsid w:val="00EA0FE0"/>
    <w:rsid w:val="00EA4C8A"/>
    <w:rsid w:val="00EA514F"/>
    <w:rsid w:val="00EA59CA"/>
    <w:rsid w:val="00EA6A44"/>
    <w:rsid w:val="00EA6D26"/>
    <w:rsid w:val="00EB1820"/>
    <w:rsid w:val="00EB19EB"/>
    <w:rsid w:val="00EB2471"/>
    <w:rsid w:val="00EB337C"/>
    <w:rsid w:val="00EB36CA"/>
    <w:rsid w:val="00EB37E5"/>
    <w:rsid w:val="00EB6366"/>
    <w:rsid w:val="00EB69E6"/>
    <w:rsid w:val="00EB767B"/>
    <w:rsid w:val="00EB7A07"/>
    <w:rsid w:val="00EB7E53"/>
    <w:rsid w:val="00EC011A"/>
    <w:rsid w:val="00EC3DF6"/>
    <w:rsid w:val="00EC52D5"/>
    <w:rsid w:val="00EC559B"/>
    <w:rsid w:val="00ED0842"/>
    <w:rsid w:val="00ED1EF4"/>
    <w:rsid w:val="00ED31CA"/>
    <w:rsid w:val="00ED4F4F"/>
    <w:rsid w:val="00ED647D"/>
    <w:rsid w:val="00EE04DE"/>
    <w:rsid w:val="00EE06F9"/>
    <w:rsid w:val="00EE13E0"/>
    <w:rsid w:val="00EE1418"/>
    <w:rsid w:val="00EF0325"/>
    <w:rsid w:val="00EF1725"/>
    <w:rsid w:val="00EF23EB"/>
    <w:rsid w:val="00EF2A87"/>
    <w:rsid w:val="00EF2D14"/>
    <w:rsid w:val="00EF2D79"/>
    <w:rsid w:val="00EF39D3"/>
    <w:rsid w:val="00EF4420"/>
    <w:rsid w:val="00EF45A5"/>
    <w:rsid w:val="00EF465A"/>
    <w:rsid w:val="00EF478E"/>
    <w:rsid w:val="00EF56E1"/>
    <w:rsid w:val="00EF5D26"/>
    <w:rsid w:val="00EF6382"/>
    <w:rsid w:val="00EF64A0"/>
    <w:rsid w:val="00EF6EBC"/>
    <w:rsid w:val="00F011C1"/>
    <w:rsid w:val="00F01C6E"/>
    <w:rsid w:val="00F02E6F"/>
    <w:rsid w:val="00F03523"/>
    <w:rsid w:val="00F043F1"/>
    <w:rsid w:val="00F0480D"/>
    <w:rsid w:val="00F04D75"/>
    <w:rsid w:val="00F05ADC"/>
    <w:rsid w:val="00F06805"/>
    <w:rsid w:val="00F073A2"/>
    <w:rsid w:val="00F07C62"/>
    <w:rsid w:val="00F11AB6"/>
    <w:rsid w:val="00F11B7D"/>
    <w:rsid w:val="00F1227C"/>
    <w:rsid w:val="00F13711"/>
    <w:rsid w:val="00F144A0"/>
    <w:rsid w:val="00F153B4"/>
    <w:rsid w:val="00F1741A"/>
    <w:rsid w:val="00F17CBE"/>
    <w:rsid w:val="00F213C2"/>
    <w:rsid w:val="00F21AC9"/>
    <w:rsid w:val="00F2268A"/>
    <w:rsid w:val="00F226CA"/>
    <w:rsid w:val="00F25074"/>
    <w:rsid w:val="00F2711D"/>
    <w:rsid w:val="00F27223"/>
    <w:rsid w:val="00F27E53"/>
    <w:rsid w:val="00F320DD"/>
    <w:rsid w:val="00F32379"/>
    <w:rsid w:val="00F33DAF"/>
    <w:rsid w:val="00F40377"/>
    <w:rsid w:val="00F431EF"/>
    <w:rsid w:val="00F4348B"/>
    <w:rsid w:val="00F456CD"/>
    <w:rsid w:val="00F460AD"/>
    <w:rsid w:val="00F46623"/>
    <w:rsid w:val="00F53057"/>
    <w:rsid w:val="00F533F5"/>
    <w:rsid w:val="00F5359C"/>
    <w:rsid w:val="00F53B44"/>
    <w:rsid w:val="00F5409F"/>
    <w:rsid w:val="00F64B8A"/>
    <w:rsid w:val="00F66145"/>
    <w:rsid w:val="00F6668A"/>
    <w:rsid w:val="00F66B24"/>
    <w:rsid w:val="00F70635"/>
    <w:rsid w:val="00F70D94"/>
    <w:rsid w:val="00F7284A"/>
    <w:rsid w:val="00F72D0E"/>
    <w:rsid w:val="00F74200"/>
    <w:rsid w:val="00F74628"/>
    <w:rsid w:val="00F74E6A"/>
    <w:rsid w:val="00F7763C"/>
    <w:rsid w:val="00F77D16"/>
    <w:rsid w:val="00F77F11"/>
    <w:rsid w:val="00F853DC"/>
    <w:rsid w:val="00F86852"/>
    <w:rsid w:val="00F91B70"/>
    <w:rsid w:val="00F93D4C"/>
    <w:rsid w:val="00F94A00"/>
    <w:rsid w:val="00F94DB5"/>
    <w:rsid w:val="00F94FF5"/>
    <w:rsid w:val="00F956B2"/>
    <w:rsid w:val="00F958DC"/>
    <w:rsid w:val="00F95C87"/>
    <w:rsid w:val="00FA1186"/>
    <w:rsid w:val="00FA1710"/>
    <w:rsid w:val="00FA3345"/>
    <w:rsid w:val="00FA3EBE"/>
    <w:rsid w:val="00FB001F"/>
    <w:rsid w:val="00FB327B"/>
    <w:rsid w:val="00FB3291"/>
    <w:rsid w:val="00FB3BA2"/>
    <w:rsid w:val="00FB40B3"/>
    <w:rsid w:val="00FB4B9F"/>
    <w:rsid w:val="00FB4E31"/>
    <w:rsid w:val="00FB629D"/>
    <w:rsid w:val="00FB6745"/>
    <w:rsid w:val="00FB6849"/>
    <w:rsid w:val="00FB78F0"/>
    <w:rsid w:val="00FC2908"/>
    <w:rsid w:val="00FC2F59"/>
    <w:rsid w:val="00FC37B8"/>
    <w:rsid w:val="00FC42D4"/>
    <w:rsid w:val="00FC5437"/>
    <w:rsid w:val="00FC734A"/>
    <w:rsid w:val="00FD0C4E"/>
    <w:rsid w:val="00FD1347"/>
    <w:rsid w:val="00FD217C"/>
    <w:rsid w:val="00FD2917"/>
    <w:rsid w:val="00FD2994"/>
    <w:rsid w:val="00FD338C"/>
    <w:rsid w:val="00FD359B"/>
    <w:rsid w:val="00FD5A9F"/>
    <w:rsid w:val="00FD6E11"/>
    <w:rsid w:val="00FD770B"/>
    <w:rsid w:val="00FD7A8D"/>
    <w:rsid w:val="00FD7E83"/>
    <w:rsid w:val="00FE0FDC"/>
    <w:rsid w:val="00FE23F4"/>
    <w:rsid w:val="00FE53A0"/>
    <w:rsid w:val="00FE69E4"/>
    <w:rsid w:val="00FE799D"/>
    <w:rsid w:val="00FF000E"/>
    <w:rsid w:val="00FF1FFC"/>
    <w:rsid w:val="00FF203A"/>
    <w:rsid w:val="00FF2961"/>
    <w:rsid w:val="00FF7FA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3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D79"/>
    <w:rPr>
      <w:rFonts w:eastAsia="Times New Roman"/>
      <w:sz w:val="24"/>
      <w:szCs w:val="24"/>
    </w:rPr>
  </w:style>
  <w:style w:type="paragraph" w:styleId="Heading4">
    <w:name w:val="heading 4"/>
    <w:basedOn w:val="Normal"/>
    <w:next w:val="Normal"/>
    <w:link w:val="Heading4Char"/>
    <w:qFormat/>
    <w:rsid w:val="001171A8"/>
    <w:pPr>
      <w:keepNext/>
      <w:ind w:left="5040" w:hanging="5040"/>
      <w:jc w:val="both"/>
      <w:outlineLvl w:val="3"/>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E12B0"/>
    <w:pPr>
      <w:tabs>
        <w:tab w:val="center" w:pos="4536"/>
        <w:tab w:val="right" w:pos="9072"/>
      </w:tabs>
    </w:pPr>
  </w:style>
  <w:style w:type="character" w:customStyle="1" w:styleId="FooterChar">
    <w:name w:val="Footer Char"/>
    <w:link w:val="Footer"/>
    <w:rsid w:val="006E12B0"/>
    <w:rPr>
      <w:rFonts w:eastAsia="Times New Roman"/>
      <w:sz w:val="24"/>
      <w:szCs w:val="24"/>
      <w:lang w:eastAsia="bg-BG"/>
    </w:rPr>
  </w:style>
  <w:style w:type="character" w:styleId="PageNumber">
    <w:name w:val="page number"/>
    <w:basedOn w:val="DefaultParagraphFont"/>
    <w:rsid w:val="006E12B0"/>
  </w:style>
  <w:style w:type="paragraph" w:styleId="BodyText3">
    <w:name w:val="Body Text 3"/>
    <w:basedOn w:val="Normal"/>
    <w:link w:val="BodyText3Char"/>
    <w:rsid w:val="006E12B0"/>
    <w:pPr>
      <w:spacing w:after="120"/>
    </w:pPr>
    <w:rPr>
      <w:rFonts w:ascii="Timok" w:hAnsi="Timok"/>
      <w:sz w:val="16"/>
      <w:szCs w:val="16"/>
      <w:lang w:val="en-GB"/>
    </w:rPr>
  </w:style>
  <w:style w:type="character" w:customStyle="1" w:styleId="BodyText3Char">
    <w:name w:val="Body Text 3 Char"/>
    <w:link w:val="BodyText3"/>
    <w:rsid w:val="006E12B0"/>
    <w:rPr>
      <w:rFonts w:ascii="Timok" w:eastAsia="Times New Roman" w:hAnsi="Timok"/>
      <w:sz w:val="16"/>
      <w:szCs w:val="16"/>
      <w:lang w:val="en-GB" w:eastAsia="bg-BG"/>
    </w:rPr>
  </w:style>
  <w:style w:type="paragraph" w:customStyle="1" w:styleId="Style">
    <w:name w:val="Style"/>
    <w:rsid w:val="006E12B0"/>
    <w:pPr>
      <w:widowControl w:val="0"/>
      <w:autoSpaceDE w:val="0"/>
      <w:autoSpaceDN w:val="0"/>
      <w:adjustRightInd w:val="0"/>
      <w:ind w:left="140" w:right="140" w:firstLine="840"/>
      <w:jc w:val="both"/>
    </w:pPr>
    <w:rPr>
      <w:rFonts w:eastAsia="Times New Roman"/>
      <w:sz w:val="24"/>
      <w:szCs w:val="24"/>
    </w:rPr>
  </w:style>
  <w:style w:type="character" w:customStyle="1" w:styleId="samedocreference1">
    <w:name w:val="samedocreference1"/>
    <w:rsid w:val="006E12B0"/>
    <w:rPr>
      <w:i w:val="0"/>
      <w:iCs w:val="0"/>
      <w:color w:val="8B0000"/>
      <w:u w:val="single"/>
    </w:rPr>
  </w:style>
  <w:style w:type="paragraph" w:customStyle="1" w:styleId="CharCharChar">
    <w:name w:val="Char Char Char"/>
    <w:basedOn w:val="Normal"/>
    <w:rsid w:val="00EF45A5"/>
    <w:pPr>
      <w:tabs>
        <w:tab w:val="left" w:pos="709"/>
      </w:tabs>
    </w:pPr>
    <w:rPr>
      <w:rFonts w:ascii="Tahoma" w:hAnsi="Tahoma" w:cs="Tahoma"/>
      <w:lang w:val="pl-PL" w:eastAsia="pl-PL"/>
    </w:rPr>
  </w:style>
  <w:style w:type="character" w:styleId="CommentReference">
    <w:name w:val="annotation reference"/>
    <w:uiPriority w:val="99"/>
    <w:semiHidden/>
    <w:unhideWhenUsed/>
    <w:rsid w:val="005E7A88"/>
    <w:rPr>
      <w:sz w:val="16"/>
      <w:szCs w:val="16"/>
    </w:rPr>
  </w:style>
  <w:style w:type="paragraph" w:styleId="CommentText">
    <w:name w:val="annotation text"/>
    <w:basedOn w:val="Normal"/>
    <w:link w:val="CommentTextChar"/>
    <w:uiPriority w:val="99"/>
    <w:semiHidden/>
    <w:unhideWhenUsed/>
    <w:rsid w:val="005E7A88"/>
    <w:rPr>
      <w:sz w:val="20"/>
      <w:szCs w:val="20"/>
    </w:rPr>
  </w:style>
  <w:style w:type="character" w:customStyle="1" w:styleId="CommentTextChar">
    <w:name w:val="Comment Text Char"/>
    <w:link w:val="CommentText"/>
    <w:uiPriority w:val="99"/>
    <w:semiHidden/>
    <w:rsid w:val="005E7A88"/>
    <w:rPr>
      <w:rFonts w:eastAsia="Times New Roman"/>
    </w:rPr>
  </w:style>
  <w:style w:type="paragraph" w:styleId="CommentSubject">
    <w:name w:val="annotation subject"/>
    <w:basedOn w:val="CommentText"/>
    <w:next w:val="CommentText"/>
    <w:link w:val="CommentSubjectChar"/>
    <w:uiPriority w:val="99"/>
    <w:semiHidden/>
    <w:unhideWhenUsed/>
    <w:rsid w:val="005E7A88"/>
    <w:rPr>
      <w:b/>
      <w:bCs/>
    </w:rPr>
  </w:style>
  <w:style w:type="character" w:customStyle="1" w:styleId="CommentSubjectChar">
    <w:name w:val="Comment Subject Char"/>
    <w:link w:val="CommentSubject"/>
    <w:uiPriority w:val="99"/>
    <w:semiHidden/>
    <w:rsid w:val="005E7A88"/>
    <w:rPr>
      <w:rFonts w:eastAsia="Times New Roman"/>
      <w:b/>
      <w:bCs/>
    </w:rPr>
  </w:style>
  <w:style w:type="paragraph" w:styleId="BalloonText">
    <w:name w:val="Balloon Text"/>
    <w:basedOn w:val="Normal"/>
    <w:link w:val="BalloonTextChar"/>
    <w:uiPriority w:val="99"/>
    <w:semiHidden/>
    <w:unhideWhenUsed/>
    <w:rsid w:val="005E7A88"/>
    <w:rPr>
      <w:rFonts w:ascii="Tahoma" w:hAnsi="Tahoma" w:cs="Tahoma"/>
      <w:sz w:val="16"/>
      <w:szCs w:val="16"/>
    </w:rPr>
  </w:style>
  <w:style w:type="character" w:customStyle="1" w:styleId="BalloonTextChar">
    <w:name w:val="Balloon Text Char"/>
    <w:link w:val="BalloonText"/>
    <w:uiPriority w:val="99"/>
    <w:semiHidden/>
    <w:rsid w:val="005E7A88"/>
    <w:rPr>
      <w:rFonts w:ascii="Tahoma" w:eastAsia="Times New Roman" w:hAnsi="Tahoma" w:cs="Tahoma"/>
      <w:sz w:val="16"/>
      <w:szCs w:val="16"/>
    </w:rPr>
  </w:style>
  <w:style w:type="paragraph" w:styleId="BodyText">
    <w:name w:val="Body Text"/>
    <w:basedOn w:val="Normal"/>
    <w:link w:val="BodyTextChar"/>
    <w:uiPriority w:val="99"/>
    <w:semiHidden/>
    <w:unhideWhenUsed/>
    <w:rsid w:val="001171A8"/>
    <w:pPr>
      <w:spacing w:after="120"/>
    </w:pPr>
  </w:style>
  <w:style w:type="character" w:customStyle="1" w:styleId="BodyTextChar">
    <w:name w:val="Body Text Char"/>
    <w:link w:val="BodyText"/>
    <w:uiPriority w:val="99"/>
    <w:semiHidden/>
    <w:rsid w:val="001171A8"/>
    <w:rPr>
      <w:rFonts w:eastAsia="Times New Roman"/>
      <w:sz w:val="24"/>
      <w:szCs w:val="24"/>
    </w:rPr>
  </w:style>
  <w:style w:type="character" w:customStyle="1" w:styleId="Heading4Char">
    <w:name w:val="Heading 4 Char"/>
    <w:link w:val="Heading4"/>
    <w:rsid w:val="001171A8"/>
    <w:rPr>
      <w:rFonts w:eastAsia="Times New Roman"/>
      <w:sz w:val="28"/>
      <w:szCs w:val="24"/>
      <w:lang w:eastAsia="en-US"/>
    </w:rPr>
  </w:style>
  <w:style w:type="paragraph" w:styleId="PlainText">
    <w:name w:val="Plain Text"/>
    <w:aliases w:val=" Char Знак Знак Знак Знак Знак Знак Знак, Char Знак, Char Знак Знак, Char Знак Знак Знак Знак Знак Знак, Char Знак Знак Знак Знак Знак, Char Знак Знак Знак Знак Знак Знак Знак Знак Знак Знак Знак Знак"/>
    <w:basedOn w:val="Normal"/>
    <w:link w:val="PlainTextChar"/>
    <w:rsid w:val="007B5932"/>
    <w:pPr>
      <w:overflowPunct w:val="0"/>
      <w:autoSpaceDE w:val="0"/>
      <w:autoSpaceDN w:val="0"/>
      <w:adjustRightInd w:val="0"/>
      <w:textAlignment w:val="baseline"/>
    </w:pPr>
    <w:rPr>
      <w:rFonts w:ascii="Courier New" w:hAnsi="Courier New"/>
      <w:sz w:val="20"/>
      <w:szCs w:val="20"/>
      <w:lang w:eastAsia="it-IT"/>
    </w:rPr>
  </w:style>
  <w:style w:type="character" w:customStyle="1" w:styleId="PlainTextChar">
    <w:name w:val="Plain Text Char"/>
    <w:aliases w:val=" Char Знак Знак Знак Знак Знак Знак Знак Char, Char Знак Char, Char Знак Знак Char, Char Знак Знак Знак Знак Знак Знак Char, Char Знак Знак Знак Знак Знак Char, Char Знак Знак Знак Знак Знак Знак Знак Знак Знак Знак Знак Знак Char"/>
    <w:link w:val="PlainText"/>
    <w:rsid w:val="007B5932"/>
    <w:rPr>
      <w:rFonts w:ascii="Courier New" w:eastAsia="Times New Roman" w:hAnsi="Courier New"/>
      <w:lang w:eastAsia="it-IT"/>
    </w:rPr>
  </w:style>
  <w:style w:type="paragraph" w:styleId="ListParagraph">
    <w:name w:val="List Paragraph"/>
    <w:basedOn w:val="Normal"/>
    <w:uiPriority w:val="34"/>
    <w:qFormat/>
    <w:rsid w:val="00BD3E63"/>
    <w:pPr>
      <w:ind w:left="708"/>
    </w:pPr>
  </w:style>
  <w:style w:type="paragraph" w:styleId="Revision">
    <w:name w:val="Revision"/>
    <w:hidden/>
    <w:uiPriority w:val="99"/>
    <w:semiHidden/>
    <w:rsid w:val="001F6E70"/>
    <w:rPr>
      <w:rFonts w:eastAsia="Times New Roman"/>
      <w:sz w:val="24"/>
      <w:szCs w:val="24"/>
    </w:rPr>
  </w:style>
  <w:style w:type="paragraph" w:customStyle="1" w:styleId="m">
    <w:name w:val="m"/>
    <w:basedOn w:val="Normal"/>
    <w:rsid w:val="00F70D94"/>
    <w:pPr>
      <w:spacing w:before="100" w:beforeAutospacing="1" w:after="100" w:afterAutospacing="1"/>
    </w:pPr>
  </w:style>
  <w:style w:type="paragraph" w:customStyle="1" w:styleId="ti-grseq-1">
    <w:name w:val="ti-grseq-1"/>
    <w:basedOn w:val="Normal"/>
    <w:rsid w:val="002D7B25"/>
    <w:pPr>
      <w:spacing w:before="240" w:after="120"/>
      <w:jc w:val="both"/>
    </w:pPr>
    <w:rPr>
      <w:b/>
      <w:bCs/>
    </w:rPr>
  </w:style>
  <w:style w:type="character" w:customStyle="1" w:styleId="sub">
    <w:name w:val="sub"/>
    <w:rsid w:val="002D7B25"/>
    <w:rPr>
      <w:sz w:val="17"/>
      <w:vertAlign w:val="subscript"/>
    </w:rPr>
  </w:style>
  <w:style w:type="table" w:styleId="TableGrid">
    <w:name w:val="Table Grid"/>
    <w:basedOn w:val="TableNormal"/>
    <w:uiPriority w:val="59"/>
    <w:rsid w:val="00C23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D79"/>
    <w:rPr>
      <w:rFonts w:eastAsia="Times New Roman"/>
      <w:sz w:val="24"/>
      <w:szCs w:val="24"/>
    </w:rPr>
  </w:style>
  <w:style w:type="paragraph" w:styleId="Heading4">
    <w:name w:val="heading 4"/>
    <w:basedOn w:val="Normal"/>
    <w:next w:val="Normal"/>
    <w:link w:val="Heading4Char"/>
    <w:qFormat/>
    <w:rsid w:val="001171A8"/>
    <w:pPr>
      <w:keepNext/>
      <w:ind w:left="5040" w:hanging="5040"/>
      <w:jc w:val="both"/>
      <w:outlineLvl w:val="3"/>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E12B0"/>
    <w:pPr>
      <w:tabs>
        <w:tab w:val="center" w:pos="4536"/>
        <w:tab w:val="right" w:pos="9072"/>
      </w:tabs>
    </w:pPr>
  </w:style>
  <w:style w:type="character" w:customStyle="1" w:styleId="FooterChar">
    <w:name w:val="Footer Char"/>
    <w:link w:val="Footer"/>
    <w:rsid w:val="006E12B0"/>
    <w:rPr>
      <w:rFonts w:eastAsia="Times New Roman"/>
      <w:sz w:val="24"/>
      <w:szCs w:val="24"/>
      <w:lang w:eastAsia="bg-BG"/>
    </w:rPr>
  </w:style>
  <w:style w:type="character" w:styleId="PageNumber">
    <w:name w:val="page number"/>
    <w:basedOn w:val="DefaultParagraphFont"/>
    <w:rsid w:val="006E12B0"/>
  </w:style>
  <w:style w:type="paragraph" w:styleId="BodyText3">
    <w:name w:val="Body Text 3"/>
    <w:basedOn w:val="Normal"/>
    <w:link w:val="BodyText3Char"/>
    <w:rsid w:val="006E12B0"/>
    <w:pPr>
      <w:spacing w:after="120"/>
    </w:pPr>
    <w:rPr>
      <w:rFonts w:ascii="Timok" w:hAnsi="Timok"/>
      <w:sz w:val="16"/>
      <w:szCs w:val="16"/>
      <w:lang w:val="en-GB"/>
    </w:rPr>
  </w:style>
  <w:style w:type="character" w:customStyle="1" w:styleId="BodyText3Char">
    <w:name w:val="Body Text 3 Char"/>
    <w:link w:val="BodyText3"/>
    <w:rsid w:val="006E12B0"/>
    <w:rPr>
      <w:rFonts w:ascii="Timok" w:eastAsia="Times New Roman" w:hAnsi="Timok"/>
      <w:sz w:val="16"/>
      <w:szCs w:val="16"/>
      <w:lang w:val="en-GB" w:eastAsia="bg-BG"/>
    </w:rPr>
  </w:style>
  <w:style w:type="paragraph" w:customStyle="1" w:styleId="Style">
    <w:name w:val="Style"/>
    <w:rsid w:val="006E12B0"/>
    <w:pPr>
      <w:widowControl w:val="0"/>
      <w:autoSpaceDE w:val="0"/>
      <w:autoSpaceDN w:val="0"/>
      <w:adjustRightInd w:val="0"/>
      <w:ind w:left="140" w:right="140" w:firstLine="840"/>
      <w:jc w:val="both"/>
    </w:pPr>
    <w:rPr>
      <w:rFonts w:eastAsia="Times New Roman"/>
      <w:sz w:val="24"/>
      <w:szCs w:val="24"/>
    </w:rPr>
  </w:style>
  <w:style w:type="character" w:customStyle="1" w:styleId="samedocreference1">
    <w:name w:val="samedocreference1"/>
    <w:rsid w:val="006E12B0"/>
    <w:rPr>
      <w:i w:val="0"/>
      <w:iCs w:val="0"/>
      <w:color w:val="8B0000"/>
      <w:u w:val="single"/>
    </w:rPr>
  </w:style>
  <w:style w:type="paragraph" w:customStyle="1" w:styleId="CharCharChar">
    <w:name w:val="Char Char Char"/>
    <w:basedOn w:val="Normal"/>
    <w:rsid w:val="00EF45A5"/>
    <w:pPr>
      <w:tabs>
        <w:tab w:val="left" w:pos="709"/>
      </w:tabs>
    </w:pPr>
    <w:rPr>
      <w:rFonts w:ascii="Tahoma" w:hAnsi="Tahoma" w:cs="Tahoma"/>
      <w:lang w:val="pl-PL" w:eastAsia="pl-PL"/>
    </w:rPr>
  </w:style>
  <w:style w:type="character" w:styleId="CommentReference">
    <w:name w:val="annotation reference"/>
    <w:uiPriority w:val="99"/>
    <w:semiHidden/>
    <w:unhideWhenUsed/>
    <w:rsid w:val="005E7A88"/>
    <w:rPr>
      <w:sz w:val="16"/>
      <w:szCs w:val="16"/>
    </w:rPr>
  </w:style>
  <w:style w:type="paragraph" w:styleId="CommentText">
    <w:name w:val="annotation text"/>
    <w:basedOn w:val="Normal"/>
    <w:link w:val="CommentTextChar"/>
    <w:uiPriority w:val="99"/>
    <w:semiHidden/>
    <w:unhideWhenUsed/>
    <w:rsid w:val="005E7A88"/>
    <w:rPr>
      <w:sz w:val="20"/>
      <w:szCs w:val="20"/>
    </w:rPr>
  </w:style>
  <w:style w:type="character" w:customStyle="1" w:styleId="CommentTextChar">
    <w:name w:val="Comment Text Char"/>
    <w:link w:val="CommentText"/>
    <w:uiPriority w:val="99"/>
    <w:semiHidden/>
    <w:rsid w:val="005E7A88"/>
    <w:rPr>
      <w:rFonts w:eastAsia="Times New Roman"/>
    </w:rPr>
  </w:style>
  <w:style w:type="paragraph" w:styleId="CommentSubject">
    <w:name w:val="annotation subject"/>
    <w:basedOn w:val="CommentText"/>
    <w:next w:val="CommentText"/>
    <w:link w:val="CommentSubjectChar"/>
    <w:uiPriority w:val="99"/>
    <w:semiHidden/>
    <w:unhideWhenUsed/>
    <w:rsid w:val="005E7A88"/>
    <w:rPr>
      <w:b/>
      <w:bCs/>
    </w:rPr>
  </w:style>
  <w:style w:type="character" w:customStyle="1" w:styleId="CommentSubjectChar">
    <w:name w:val="Comment Subject Char"/>
    <w:link w:val="CommentSubject"/>
    <w:uiPriority w:val="99"/>
    <w:semiHidden/>
    <w:rsid w:val="005E7A88"/>
    <w:rPr>
      <w:rFonts w:eastAsia="Times New Roman"/>
      <w:b/>
      <w:bCs/>
    </w:rPr>
  </w:style>
  <w:style w:type="paragraph" w:styleId="BalloonText">
    <w:name w:val="Balloon Text"/>
    <w:basedOn w:val="Normal"/>
    <w:link w:val="BalloonTextChar"/>
    <w:uiPriority w:val="99"/>
    <w:semiHidden/>
    <w:unhideWhenUsed/>
    <w:rsid w:val="005E7A88"/>
    <w:rPr>
      <w:rFonts w:ascii="Tahoma" w:hAnsi="Tahoma" w:cs="Tahoma"/>
      <w:sz w:val="16"/>
      <w:szCs w:val="16"/>
    </w:rPr>
  </w:style>
  <w:style w:type="character" w:customStyle="1" w:styleId="BalloonTextChar">
    <w:name w:val="Balloon Text Char"/>
    <w:link w:val="BalloonText"/>
    <w:uiPriority w:val="99"/>
    <w:semiHidden/>
    <w:rsid w:val="005E7A88"/>
    <w:rPr>
      <w:rFonts w:ascii="Tahoma" w:eastAsia="Times New Roman" w:hAnsi="Tahoma" w:cs="Tahoma"/>
      <w:sz w:val="16"/>
      <w:szCs w:val="16"/>
    </w:rPr>
  </w:style>
  <w:style w:type="paragraph" w:styleId="BodyText">
    <w:name w:val="Body Text"/>
    <w:basedOn w:val="Normal"/>
    <w:link w:val="BodyTextChar"/>
    <w:uiPriority w:val="99"/>
    <w:semiHidden/>
    <w:unhideWhenUsed/>
    <w:rsid w:val="001171A8"/>
    <w:pPr>
      <w:spacing w:after="120"/>
    </w:pPr>
  </w:style>
  <w:style w:type="character" w:customStyle="1" w:styleId="BodyTextChar">
    <w:name w:val="Body Text Char"/>
    <w:link w:val="BodyText"/>
    <w:uiPriority w:val="99"/>
    <w:semiHidden/>
    <w:rsid w:val="001171A8"/>
    <w:rPr>
      <w:rFonts w:eastAsia="Times New Roman"/>
      <w:sz w:val="24"/>
      <w:szCs w:val="24"/>
    </w:rPr>
  </w:style>
  <w:style w:type="character" w:customStyle="1" w:styleId="Heading4Char">
    <w:name w:val="Heading 4 Char"/>
    <w:link w:val="Heading4"/>
    <w:rsid w:val="001171A8"/>
    <w:rPr>
      <w:rFonts w:eastAsia="Times New Roman"/>
      <w:sz w:val="28"/>
      <w:szCs w:val="24"/>
      <w:lang w:eastAsia="en-US"/>
    </w:rPr>
  </w:style>
  <w:style w:type="paragraph" w:styleId="PlainText">
    <w:name w:val="Plain Text"/>
    <w:aliases w:val=" Char Знак Знак Знак Знак Знак Знак Знак, Char Знак, Char Знак Знак, Char Знак Знак Знак Знак Знак Знак, Char Знак Знак Знак Знак Знак, Char Знак Знак Знак Знак Знак Знак Знак Знак Знак Знак Знак Знак"/>
    <w:basedOn w:val="Normal"/>
    <w:link w:val="PlainTextChar"/>
    <w:rsid w:val="007B5932"/>
    <w:pPr>
      <w:overflowPunct w:val="0"/>
      <w:autoSpaceDE w:val="0"/>
      <w:autoSpaceDN w:val="0"/>
      <w:adjustRightInd w:val="0"/>
      <w:textAlignment w:val="baseline"/>
    </w:pPr>
    <w:rPr>
      <w:rFonts w:ascii="Courier New" w:hAnsi="Courier New"/>
      <w:sz w:val="20"/>
      <w:szCs w:val="20"/>
      <w:lang w:eastAsia="it-IT"/>
    </w:rPr>
  </w:style>
  <w:style w:type="character" w:customStyle="1" w:styleId="PlainTextChar">
    <w:name w:val="Plain Text Char"/>
    <w:aliases w:val=" Char Знак Знак Знак Знак Знак Знак Знак Char, Char Знак Char, Char Знак Знак Char, Char Знак Знак Знак Знак Знак Знак Char, Char Знак Знак Знак Знак Знак Char, Char Знак Знак Знак Знак Знак Знак Знак Знак Знак Знак Знак Знак Char"/>
    <w:link w:val="PlainText"/>
    <w:rsid w:val="007B5932"/>
    <w:rPr>
      <w:rFonts w:ascii="Courier New" w:eastAsia="Times New Roman" w:hAnsi="Courier New"/>
      <w:lang w:eastAsia="it-IT"/>
    </w:rPr>
  </w:style>
  <w:style w:type="paragraph" w:styleId="ListParagraph">
    <w:name w:val="List Paragraph"/>
    <w:basedOn w:val="Normal"/>
    <w:uiPriority w:val="34"/>
    <w:qFormat/>
    <w:rsid w:val="00BD3E63"/>
    <w:pPr>
      <w:ind w:left="708"/>
    </w:pPr>
  </w:style>
  <w:style w:type="paragraph" w:styleId="Revision">
    <w:name w:val="Revision"/>
    <w:hidden/>
    <w:uiPriority w:val="99"/>
    <w:semiHidden/>
    <w:rsid w:val="001F6E70"/>
    <w:rPr>
      <w:rFonts w:eastAsia="Times New Roman"/>
      <w:sz w:val="24"/>
      <w:szCs w:val="24"/>
    </w:rPr>
  </w:style>
  <w:style w:type="paragraph" w:customStyle="1" w:styleId="m">
    <w:name w:val="m"/>
    <w:basedOn w:val="Normal"/>
    <w:rsid w:val="00F70D94"/>
    <w:pPr>
      <w:spacing w:before="100" w:beforeAutospacing="1" w:after="100" w:afterAutospacing="1"/>
    </w:pPr>
  </w:style>
  <w:style w:type="paragraph" w:customStyle="1" w:styleId="ti-grseq-1">
    <w:name w:val="ti-grseq-1"/>
    <w:basedOn w:val="Normal"/>
    <w:rsid w:val="002D7B25"/>
    <w:pPr>
      <w:spacing w:before="240" w:after="120"/>
      <w:jc w:val="both"/>
    </w:pPr>
    <w:rPr>
      <w:b/>
      <w:bCs/>
    </w:rPr>
  </w:style>
  <w:style w:type="character" w:customStyle="1" w:styleId="sub">
    <w:name w:val="sub"/>
    <w:rsid w:val="002D7B25"/>
    <w:rPr>
      <w:sz w:val="17"/>
      <w:vertAlign w:val="subscript"/>
    </w:rPr>
  </w:style>
  <w:style w:type="table" w:styleId="TableGrid">
    <w:name w:val="Table Grid"/>
    <w:basedOn w:val="TableNormal"/>
    <w:uiPriority w:val="59"/>
    <w:rsid w:val="00C23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492700">
      <w:bodyDiv w:val="1"/>
      <w:marLeft w:val="0"/>
      <w:marRight w:val="0"/>
      <w:marTop w:val="0"/>
      <w:marBottom w:val="0"/>
      <w:divBdr>
        <w:top w:val="none" w:sz="0" w:space="0" w:color="auto"/>
        <w:left w:val="none" w:sz="0" w:space="0" w:color="auto"/>
        <w:bottom w:val="none" w:sz="0" w:space="0" w:color="auto"/>
        <w:right w:val="none" w:sz="0" w:space="0" w:color="auto"/>
      </w:divBdr>
    </w:div>
    <w:div w:id="961227209">
      <w:bodyDiv w:val="1"/>
      <w:marLeft w:val="0"/>
      <w:marRight w:val="0"/>
      <w:marTop w:val="0"/>
      <w:marBottom w:val="0"/>
      <w:divBdr>
        <w:top w:val="none" w:sz="0" w:space="0" w:color="auto"/>
        <w:left w:val="none" w:sz="0" w:space="0" w:color="auto"/>
        <w:bottom w:val="none" w:sz="0" w:space="0" w:color="auto"/>
        <w:right w:val="none" w:sz="0" w:space="0" w:color="auto"/>
      </w:divBdr>
    </w:div>
    <w:div w:id="1806268837">
      <w:bodyDiv w:val="1"/>
      <w:marLeft w:val="0"/>
      <w:marRight w:val="0"/>
      <w:marTop w:val="0"/>
      <w:marBottom w:val="0"/>
      <w:divBdr>
        <w:top w:val="none" w:sz="0" w:space="0" w:color="auto"/>
        <w:left w:val="none" w:sz="0" w:space="0" w:color="auto"/>
        <w:bottom w:val="none" w:sz="0" w:space="0" w:color="auto"/>
        <w:right w:val="none" w:sz="0" w:space="0" w:color="auto"/>
      </w:divBdr>
      <w:divsChild>
        <w:div w:id="999237838">
          <w:marLeft w:val="0"/>
          <w:marRight w:val="0"/>
          <w:marTop w:val="0"/>
          <w:marBottom w:val="0"/>
          <w:divBdr>
            <w:top w:val="none" w:sz="0" w:space="0" w:color="auto"/>
            <w:left w:val="none" w:sz="0" w:space="0" w:color="auto"/>
            <w:bottom w:val="none" w:sz="0" w:space="0" w:color="auto"/>
            <w:right w:val="none" w:sz="0" w:space="0" w:color="auto"/>
          </w:divBdr>
          <w:divsChild>
            <w:div w:id="2038121658">
              <w:marLeft w:val="0"/>
              <w:marRight w:val="0"/>
              <w:marTop w:val="0"/>
              <w:marBottom w:val="0"/>
              <w:divBdr>
                <w:top w:val="none" w:sz="0" w:space="0" w:color="auto"/>
                <w:left w:val="none" w:sz="0" w:space="0" w:color="auto"/>
                <w:bottom w:val="none" w:sz="0" w:space="0" w:color="auto"/>
                <w:right w:val="none" w:sz="0" w:space="0" w:color="auto"/>
              </w:divBdr>
              <w:divsChild>
                <w:div w:id="1977636746">
                  <w:marLeft w:val="0"/>
                  <w:marRight w:val="0"/>
                  <w:marTop w:val="0"/>
                  <w:marBottom w:val="0"/>
                  <w:divBdr>
                    <w:top w:val="none" w:sz="0" w:space="0" w:color="auto"/>
                    <w:left w:val="none" w:sz="0" w:space="0" w:color="auto"/>
                    <w:bottom w:val="none" w:sz="0" w:space="0" w:color="auto"/>
                    <w:right w:val="none" w:sz="0" w:space="0" w:color="auto"/>
                  </w:divBdr>
                  <w:divsChild>
                    <w:div w:id="7076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YuHyuseinova\Desktop\Zapoved\Draft%20Naredba%2012\CELEX-32015L1480-BG-TXT.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YuHyuseinova\Desktop\Zapoved\Draft%20Naredba%2012\CELEX-32015L1480-BG-TX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YuHyuseinova\Desktop\Zapoved\Draft%20Naredba%2012\CELEX-32015L1480-BG-TXT.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C:\Users\YuHyuseinova\Desktop\Zapoved\Draft%20Naredba%2012\CELEX-32015L1480-BG-TXT.html"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file:///C:\Users\YuHyuseinova\Desktop\Zapoved\Draft%20Naredba%2012\CELEX-32015L1480-BG-TXT.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15598-1974-48DC-844F-2F0941FD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2278</Words>
  <Characters>12990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15238</CharactersWithSpaces>
  <SharedDoc>false</SharedDoc>
  <HLinks>
    <vt:vector size="30" baseType="variant">
      <vt:variant>
        <vt:i4>3538951</vt:i4>
      </vt:variant>
      <vt:variant>
        <vt:i4>12</vt:i4>
      </vt:variant>
      <vt:variant>
        <vt:i4>0</vt:i4>
      </vt:variant>
      <vt:variant>
        <vt:i4>5</vt:i4>
      </vt:variant>
      <vt:variant>
        <vt:lpwstr>C:\Users\YuHyuseinova\Desktop\Zapoved\Draft Naredba 12\CELEX-32015L1480-BG-TXT.html</vt:lpwstr>
      </vt:variant>
      <vt:variant>
        <vt:lpwstr>ntc2-L_2015226BG.01000901-E0002</vt:lpwstr>
      </vt:variant>
      <vt:variant>
        <vt:i4>3473415</vt:i4>
      </vt:variant>
      <vt:variant>
        <vt:i4>9</vt:i4>
      </vt:variant>
      <vt:variant>
        <vt:i4>0</vt:i4>
      </vt:variant>
      <vt:variant>
        <vt:i4>5</vt:i4>
      </vt:variant>
      <vt:variant>
        <vt:lpwstr>C:\Users\YuHyuseinova\Desktop\Zapoved\Draft Naredba 12\CELEX-32015L1480-BG-TXT.html</vt:lpwstr>
      </vt:variant>
      <vt:variant>
        <vt:lpwstr>ntc1-L_2015226BG.01000901-E0001</vt:lpwstr>
      </vt:variant>
      <vt:variant>
        <vt:i4>3538966</vt:i4>
      </vt:variant>
      <vt:variant>
        <vt:i4>6</vt:i4>
      </vt:variant>
      <vt:variant>
        <vt:i4>0</vt:i4>
      </vt:variant>
      <vt:variant>
        <vt:i4>5</vt:i4>
      </vt:variant>
      <vt:variant>
        <vt:lpwstr>C:\Users\YuHyuseinova\Desktop\Zapoved\Draft Naredba 12\CELEX-32015L1480-BG-TXT.html</vt:lpwstr>
      </vt:variant>
      <vt:variant>
        <vt:lpwstr>ntr2-L_2015226BG.01000901-E0002</vt:lpwstr>
      </vt:variant>
      <vt:variant>
        <vt:i4>3473430</vt:i4>
      </vt:variant>
      <vt:variant>
        <vt:i4>3</vt:i4>
      </vt:variant>
      <vt:variant>
        <vt:i4>0</vt:i4>
      </vt:variant>
      <vt:variant>
        <vt:i4>5</vt:i4>
      </vt:variant>
      <vt:variant>
        <vt:lpwstr>C:\Users\YuHyuseinova\Desktop\Zapoved\Draft Naredba 12\CELEX-32015L1480-BG-TXT.html</vt:lpwstr>
      </vt:variant>
      <vt:variant>
        <vt:lpwstr>ntr1-L_2015226BG.01000901-E0001</vt:lpwstr>
      </vt:variant>
      <vt:variant>
        <vt:i4>3473430</vt:i4>
      </vt:variant>
      <vt:variant>
        <vt:i4>0</vt:i4>
      </vt:variant>
      <vt:variant>
        <vt:i4>0</vt:i4>
      </vt:variant>
      <vt:variant>
        <vt:i4>5</vt:i4>
      </vt:variant>
      <vt:variant>
        <vt:lpwstr>C:\Users\YuHyuseinova\Desktop\Zapoved\Draft Naredba 12\CELEX-32015L1480-BG-TXT.html</vt:lpwstr>
      </vt:variant>
      <vt:variant>
        <vt:lpwstr>ntr1-L_2015226BG.01000901-E0001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ntsvetkova</dc:creator>
  <cp:keywords/>
  <cp:lastModifiedBy>UserName</cp:lastModifiedBy>
  <cp:revision>111</cp:revision>
  <cp:lastPrinted>2017-03-17T12:24:00Z</cp:lastPrinted>
  <dcterms:created xsi:type="dcterms:W3CDTF">2017-03-08T22:15:00Z</dcterms:created>
  <dcterms:modified xsi:type="dcterms:W3CDTF">2017-03-24T13:19:00Z</dcterms:modified>
</cp:coreProperties>
</file>