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2" w:rsidRPr="00E118C3" w:rsidRDefault="00A405A5" w:rsidP="00A5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8C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A21F7" w:rsidRPr="00E118C3">
        <w:rPr>
          <w:rFonts w:ascii="Times New Roman" w:hAnsi="Times New Roman" w:cs="Times New Roman"/>
          <w:b/>
          <w:sz w:val="28"/>
          <w:szCs w:val="28"/>
          <w:u w:val="single"/>
        </w:rPr>
        <w:t>ТЧЕТ</w:t>
      </w:r>
      <w:r w:rsidR="001B19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осъществената контролна дейност </w:t>
      </w:r>
    </w:p>
    <w:p w:rsidR="0086012A" w:rsidRPr="00E118C3" w:rsidRDefault="00A405A5" w:rsidP="00A5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 м. </w:t>
      </w:r>
      <w:r w:rsidR="00AA21F7" w:rsidRPr="00E118C3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E1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2016г. </w:t>
      </w:r>
    </w:p>
    <w:p w:rsidR="00A405A5" w:rsidRPr="00E118C3" w:rsidRDefault="00A405A5" w:rsidP="00B1475F">
      <w:pPr>
        <w:rPr>
          <w:rFonts w:ascii="Times New Roman" w:hAnsi="Times New Roman" w:cs="Times New Roman"/>
          <w:sz w:val="24"/>
          <w:szCs w:val="24"/>
        </w:rPr>
      </w:pPr>
    </w:p>
    <w:p w:rsidR="0086012A" w:rsidRPr="00E118C3" w:rsidRDefault="0086012A" w:rsidP="008601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8C3">
        <w:rPr>
          <w:rFonts w:ascii="Times New Roman" w:hAnsi="Times New Roman" w:cs="Times New Roman"/>
          <w:b/>
          <w:i/>
          <w:sz w:val="24"/>
          <w:szCs w:val="24"/>
        </w:rPr>
        <w:t>I. Кратка обобщена информация за осъществената контролна дейност и резултати от извършената контролна дейност на басейновите дирекции.</w:t>
      </w:r>
    </w:p>
    <w:p w:rsidR="00F07584" w:rsidRDefault="002A65E8" w:rsidP="002A65E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През </w:t>
      </w:r>
      <w:r w:rsidR="00B606D8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м.</w:t>
      </w:r>
      <w:r w:rsidR="008D2AF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май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2016г. басейновите дирекции</w:t>
      </w:r>
      <w:r w:rsidR="00B514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F07584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(БД)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са извършили </w:t>
      </w:r>
      <w:r w:rsidR="0059629F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1041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броя проверки, 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от които </w:t>
      </w:r>
      <w:r w:rsidR="00BC449A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439</w:t>
      </w:r>
      <w:r w:rsidR="0085404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проверки 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 спазване на условията в издадените в издадените</w:t>
      </w:r>
      <w:r w:rsidR="0085404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разрешителни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</w:t>
      </w:r>
      <w:r w:rsidR="0085404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Направени са </w:t>
      </w:r>
      <w:r w:rsidR="00BC449A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793</w:t>
      </w:r>
      <w:r w:rsidR="007C5BFC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85404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броя извънредни проверки 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свързани с</w:t>
      </w:r>
      <w:r w:rsidR="005E4C43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проводимост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та</w:t>
      </w:r>
      <w:r w:rsidR="005E4C43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речните легла, 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осъществяване на </w:t>
      </w:r>
      <w:r w:rsidR="005E4C43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дейности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5E4C43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ъв</w:t>
      </w:r>
      <w:r w:rsidR="005E4C43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водните обекти</w:t>
      </w:r>
      <w:r w:rsidR="005E4C43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="00F269BE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сигнали и жалби, изпълнение на режимните </w:t>
      </w:r>
      <w:r w:rsidR="00F07584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графици за използване на водите на 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комплексните </w:t>
      </w:r>
      <w:r w:rsidR="00F07584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язовири, съвместни проверки с други институции и др.</w:t>
      </w:r>
      <w:r w:rsidR="0085404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BF5E99" w:rsidRPr="00E118C3" w:rsidRDefault="00BF5E99" w:rsidP="00BF5E9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</w:pPr>
      <w:r w:rsidRPr="00BF2F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През периода са извършени проверки </w:t>
      </w:r>
      <w:r w:rsidR="008205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</w:t>
      </w:r>
      <w:r w:rsidRPr="00BF2F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по 53 сигнала, подадени от граждани и юридически лица, включително и сигнали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те</w:t>
      </w:r>
      <w:r w:rsidRPr="00BF2F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подадени на „Зелен телефон“.</w:t>
      </w:r>
    </w:p>
    <w:p w:rsidR="002F0BD8" w:rsidRDefault="00F07584" w:rsidP="002A65E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 констатирани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те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административни нарушения на ЗВ от БД са съставени </w:t>
      </w:r>
      <w:r w:rsidR="00BC449A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40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акта</w:t>
      </w:r>
      <w:r w:rsidR="005D76E7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са издадени о</w:t>
      </w:r>
      <w:r w:rsidR="002F0BD8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т директорите на БД </w:t>
      </w:r>
      <w:r w:rsidR="00BC449A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41</w:t>
      </w:r>
      <w:r w:rsidR="002F0BD8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наказателни постановления, с които на нарушителите са наложени санкции и глоби в общ размер на </w:t>
      </w:r>
      <w:r w:rsidR="00BC449A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57 672 </w:t>
      </w:r>
      <w:r w:rsidR="002F0BD8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лв.</w:t>
      </w:r>
    </w:p>
    <w:p w:rsidR="002A65E8" w:rsidRPr="00E118C3" w:rsidRDefault="00FB7466" w:rsidP="002A65E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През </w:t>
      </w:r>
      <w:r w:rsidR="00536F71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месец май 2016г.</w:t>
      </w:r>
      <w:r w:rsidR="002A65E8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536F71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от такси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за осъществено право на използване на водите, предоставено с </w:t>
      </w:r>
      <w:r w:rsidR="00536F71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разрешителн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 </w:t>
      </w:r>
      <w:r w:rsidR="00536F71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реда на </w:t>
      </w:r>
      <w:r w:rsidR="00536F71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Закона за водите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="00536F71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Басейновите дирекции </w:t>
      </w:r>
      <w:r w:rsidR="00536F71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са трансферирали суми в размер на </w:t>
      </w:r>
      <w:r w:rsidR="00681DAC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2 561 292</w:t>
      </w:r>
      <w:r w:rsidR="00536F71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лв. в полза на Предприятие за управление </w:t>
      </w:r>
      <w:r w:rsidR="00602013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 дейностите по опазване на околната среда (ПУДООС).</w:t>
      </w:r>
    </w:p>
    <w:p w:rsidR="00624F52" w:rsidRPr="00E118C3" w:rsidRDefault="00624F52" w:rsidP="002A65E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53"/>
        <w:gridCol w:w="678"/>
        <w:gridCol w:w="690"/>
        <w:gridCol w:w="587"/>
        <w:gridCol w:w="610"/>
        <w:gridCol w:w="567"/>
        <w:gridCol w:w="767"/>
        <w:gridCol w:w="767"/>
        <w:gridCol w:w="594"/>
        <w:gridCol w:w="874"/>
        <w:gridCol w:w="806"/>
        <w:gridCol w:w="894"/>
      </w:tblGrid>
      <w:tr w:rsidR="00624F52" w:rsidRPr="00E118C3" w:rsidTr="00F81A8E">
        <w:trPr>
          <w:cantSplit/>
          <w:trHeight w:val="2850"/>
        </w:trPr>
        <w:tc>
          <w:tcPr>
            <w:tcW w:w="710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Басейнова дирекция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 брой  извършени проверки</w:t>
            </w:r>
          </w:p>
        </w:tc>
        <w:tc>
          <w:tcPr>
            <w:tcW w:w="553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Брой  извършени проверки по разрешителни</w:t>
            </w:r>
          </w:p>
        </w:tc>
        <w:tc>
          <w:tcPr>
            <w:tcW w:w="678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Брой извършени извънредни проверки(</w:t>
            </w:r>
            <w:r w:rsidRPr="00E118C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 сигнали, съвместни проверки и др.</w:t>
            </w: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0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Брой дадени предписания</w:t>
            </w:r>
          </w:p>
        </w:tc>
        <w:tc>
          <w:tcPr>
            <w:tcW w:w="587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 брой съставени АУАН</w:t>
            </w:r>
          </w:p>
        </w:tc>
        <w:tc>
          <w:tcPr>
            <w:tcW w:w="610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Брой съставени АУАН за неизпълнени предписания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Брой издадени наказателни постановления</w:t>
            </w:r>
          </w:p>
        </w:tc>
        <w:tc>
          <w:tcPr>
            <w:tcW w:w="767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 стойност на глобите, наложени с наказателни постановления (лв.)</w:t>
            </w:r>
          </w:p>
        </w:tc>
        <w:tc>
          <w:tcPr>
            <w:tcW w:w="767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Постъпили суми по издадени наказателни постановления (лв.)</w:t>
            </w:r>
          </w:p>
        </w:tc>
        <w:tc>
          <w:tcPr>
            <w:tcW w:w="594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Брой издадени актове за установяване на публично държавно вземане</w:t>
            </w:r>
          </w:p>
        </w:tc>
        <w:tc>
          <w:tcPr>
            <w:tcW w:w="874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 стойност на вземанията, наложени с актове за установяване публично държавно вземане (лв.)</w:t>
            </w:r>
          </w:p>
        </w:tc>
        <w:tc>
          <w:tcPr>
            <w:tcW w:w="806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Постъпили суми по влезли в сила актове за установяване на публично държавно вземане (лв.)</w:t>
            </w:r>
          </w:p>
        </w:tc>
        <w:tc>
          <w:tcPr>
            <w:tcW w:w="894" w:type="dxa"/>
            <w:textDirection w:val="btLr"/>
            <w:vAlign w:val="center"/>
            <w:hideMark/>
          </w:tcPr>
          <w:p w:rsidR="00624F52" w:rsidRPr="00E118C3" w:rsidRDefault="00624F52" w:rsidP="00624F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Постъпили суми, представляващи събрани такси по Закона за водите (лв.)</w:t>
            </w:r>
          </w:p>
        </w:tc>
      </w:tr>
      <w:tr w:rsidR="003F3B7B" w:rsidRPr="00E118C3" w:rsidTr="00F81A8E">
        <w:trPr>
          <w:trHeight w:val="330"/>
        </w:trPr>
        <w:tc>
          <w:tcPr>
            <w:tcW w:w="710" w:type="dxa"/>
            <w:vAlign w:val="center"/>
            <w:hideMark/>
          </w:tcPr>
          <w:p w:rsidR="003F3B7B" w:rsidRPr="00E118C3" w:rsidRDefault="003F3B7B" w:rsidP="00B514EF">
            <w:pPr>
              <w:ind w:right="-14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БДДР</w:t>
            </w:r>
          </w:p>
        </w:tc>
        <w:tc>
          <w:tcPr>
            <w:tcW w:w="5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553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78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690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58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20 922</w:t>
            </w:r>
          </w:p>
        </w:tc>
        <w:tc>
          <w:tcPr>
            <w:tcW w:w="7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23 480</w:t>
            </w:r>
          </w:p>
        </w:tc>
        <w:tc>
          <w:tcPr>
            <w:tcW w:w="59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1 859 862</w:t>
            </w:r>
          </w:p>
        </w:tc>
        <w:tc>
          <w:tcPr>
            <w:tcW w:w="806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51 000</w:t>
            </w:r>
          </w:p>
        </w:tc>
        <w:tc>
          <w:tcPr>
            <w:tcW w:w="89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206 325</w:t>
            </w:r>
          </w:p>
        </w:tc>
      </w:tr>
      <w:tr w:rsidR="003F3B7B" w:rsidRPr="00E118C3" w:rsidTr="00F81A8E">
        <w:trPr>
          <w:trHeight w:val="330"/>
        </w:trPr>
        <w:tc>
          <w:tcPr>
            <w:tcW w:w="710" w:type="dxa"/>
            <w:vAlign w:val="center"/>
            <w:hideMark/>
          </w:tcPr>
          <w:p w:rsidR="003F3B7B" w:rsidRPr="00E118C3" w:rsidRDefault="003F3B7B" w:rsidP="00B514EF">
            <w:pPr>
              <w:ind w:right="-14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БДЧР</w:t>
            </w:r>
          </w:p>
        </w:tc>
        <w:tc>
          <w:tcPr>
            <w:tcW w:w="5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553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78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690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8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0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9 100</w:t>
            </w:r>
          </w:p>
        </w:tc>
        <w:tc>
          <w:tcPr>
            <w:tcW w:w="7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7 250</w:t>
            </w:r>
          </w:p>
        </w:tc>
        <w:tc>
          <w:tcPr>
            <w:tcW w:w="59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47 478</w:t>
            </w:r>
          </w:p>
        </w:tc>
        <w:tc>
          <w:tcPr>
            <w:tcW w:w="806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14 000</w:t>
            </w:r>
          </w:p>
        </w:tc>
        <w:tc>
          <w:tcPr>
            <w:tcW w:w="89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1 517 061</w:t>
            </w:r>
          </w:p>
        </w:tc>
      </w:tr>
      <w:tr w:rsidR="003F3B7B" w:rsidRPr="00E118C3" w:rsidTr="00F81A8E">
        <w:trPr>
          <w:trHeight w:val="330"/>
        </w:trPr>
        <w:tc>
          <w:tcPr>
            <w:tcW w:w="710" w:type="dxa"/>
            <w:vAlign w:val="center"/>
            <w:hideMark/>
          </w:tcPr>
          <w:p w:rsidR="003F3B7B" w:rsidRPr="00E118C3" w:rsidRDefault="003F3B7B" w:rsidP="00B514EF">
            <w:pPr>
              <w:ind w:right="-14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БДИБР</w:t>
            </w:r>
          </w:p>
        </w:tc>
        <w:tc>
          <w:tcPr>
            <w:tcW w:w="5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553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678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690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8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0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5 150</w:t>
            </w:r>
          </w:p>
        </w:tc>
        <w:tc>
          <w:tcPr>
            <w:tcW w:w="7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14 300</w:t>
            </w:r>
          </w:p>
        </w:tc>
        <w:tc>
          <w:tcPr>
            <w:tcW w:w="59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96 542</w:t>
            </w:r>
          </w:p>
        </w:tc>
        <w:tc>
          <w:tcPr>
            <w:tcW w:w="806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378 405</w:t>
            </w:r>
          </w:p>
        </w:tc>
      </w:tr>
      <w:tr w:rsidR="003F3B7B" w:rsidRPr="00E118C3" w:rsidTr="00F81A8E">
        <w:trPr>
          <w:trHeight w:val="330"/>
        </w:trPr>
        <w:tc>
          <w:tcPr>
            <w:tcW w:w="710" w:type="dxa"/>
            <w:vAlign w:val="center"/>
            <w:hideMark/>
          </w:tcPr>
          <w:p w:rsidR="003F3B7B" w:rsidRPr="00E118C3" w:rsidRDefault="003F3B7B" w:rsidP="00B514EF">
            <w:pPr>
              <w:ind w:right="-14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БДЗБР</w:t>
            </w:r>
          </w:p>
        </w:tc>
        <w:tc>
          <w:tcPr>
            <w:tcW w:w="5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53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78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90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8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0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22 500</w:t>
            </w:r>
          </w:p>
        </w:tc>
        <w:tc>
          <w:tcPr>
            <w:tcW w:w="767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11 800</w:t>
            </w:r>
          </w:p>
        </w:tc>
        <w:tc>
          <w:tcPr>
            <w:tcW w:w="59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6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132 304</w:t>
            </w:r>
          </w:p>
        </w:tc>
        <w:tc>
          <w:tcPr>
            <w:tcW w:w="894" w:type="dxa"/>
            <w:vAlign w:val="center"/>
            <w:hideMark/>
          </w:tcPr>
          <w:p w:rsidR="003F3B7B" w:rsidRPr="00E118C3" w:rsidRDefault="003F3B7B" w:rsidP="00F81A8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18C3">
              <w:rPr>
                <w:rFonts w:ascii="Times New Roman" w:hAnsi="Times New Roman" w:cs="Times New Roman"/>
                <w:sz w:val="16"/>
                <w:szCs w:val="16"/>
              </w:rPr>
              <w:t>459 500</w:t>
            </w:r>
          </w:p>
        </w:tc>
      </w:tr>
      <w:tr w:rsidR="003F3B7B" w:rsidRPr="00E118C3" w:rsidTr="00F81A8E">
        <w:trPr>
          <w:trHeight w:val="330"/>
        </w:trPr>
        <w:tc>
          <w:tcPr>
            <w:tcW w:w="710" w:type="dxa"/>
            <w:vAlign w:val="center"/>
            <w:hideMark/>
          </w:tcPr>
          <w:p w:rsidR="003F3B7B" w:rsidRPr="00B514EF" w:rsidRDefault="003F3B7B" w:rsidP="00B514EF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4EF">
              <w:rPr>
                <w:rFonts w:ascii="Times New Roman" w:hAnsi="Times New Roman" w:cs="Times New Roman"/>
                <w:b/>
                <w:sz w:val="16"/>
                <w:szCs w:val="16"/>
              </w:rPr>
              <w:t>ОБЩО</w:t>
            </w:r>
          </w:p>
        </w:tc>
        <w:tc>
          <w:tcPr>
            <w:tcW w:w="567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1041</w:t>
            </w:r>
          </w:p>
        </w:tc>
        <w:tc>
          <w:tcPr>
            <w:tcW w:w="553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439</w:t>
            </w:r>
          </w:p>
        </w:tc>
        <w:tc>
          <w:tcPr>
            <w:tcW w:w="678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793</w:t>
            </w:r>
          </w:p>
        </w:tc>
        <w:tc>
          <w:tcPr>
            <w:tcW w:w="690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422</w:t>
            </w:r>
          </w:p>
        </w:tc>
        <w:tc>
          <w:tcPr>
            <w:tcW w:w="587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10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767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57 672</w:t>
            </w:r>
          </w:p>
        </w:tc>
        <w:tc>
          <w:tcPr>
            <w:tcW w:w="767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56 830</w:t>
            </w:r>
          </w:p>
        </w:tc>
        <w:tc>
          <w:tcPr>
            <w:tcW w:w="594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74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2 003 883</w:t>
            </w:r>
          </w:p>
        </w:tc>
        <w:tc>
          <w:tcPr>
            <w:tcW w:w="806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197 304</w:t>
            </w:r>
          </w:p>
        </w:tc>
        <w:tc>
          <w:tcPr>
            <w:tcW w:w="894" w:type="dxa"/>
            <w:vAlign w:val="center"/>
            <w:hideMark/>
          </w:tcPr>
          <w:p w:rsidR="003F3B7B" w:rsidRPr="00F81A8E" w:rsidRDefault="003F3B7B" w:rsidP="00F81A8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A8E">
              <w:rPr>
                <w:rFonts w:ascii="Times New Roman" w:hAnsi="Times New Roman" w:cs="Times New Roman"/>
                <w:b/>
                <w:sz w:val="16"/>
                <w:szCs w:val="16"/>
              </w:rPr>
              <w:t>2 561 292</w:t>
            </w:r>
          </w:p>
        </w:tc>
      </w:tr>
    </w:tbl>
    <w:p w:rsidR="00A405A5" w:rsidRPr="00E118C3" w:rsidRDefault="00A405A5" w:rsidP="00B1475F">
      <w:pPr>
        <w:rPr>
          <w:rFonts w:ascii="Times New Roman" w:hAnsi="Times New Roman" w:cs="Times New Roman"/>
          <w:sz w:val="24"/>
          <w:szCs w:val="24"/>
        </w:rPr>
      </w:pPr>
    </w:p>
    <w:p w:rsidR="0086012A" w:rsidRPr="00E118C3" w:rsidRDefault="0086012A" w:rsidP="008601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8C3">
        <w:rPr>
          <w:rFonts w:ascii="Times New Roman" w:hAnsi="Times New Roman" w:cs="Times New Roman"/>
          <w:b/>
          <w:i/>
          <w:sz w:val="24"/>
          <w:szCs w:val="24"/>
        </w:rPr>
        <w:t>II. Акценти от извършената месечна контролна и административно наказателна дейност на басейновите дирекции.</w:t>
      </w:r>
    </w:p>
    <w:p w:rsidR="00DE2B28" w:rsidRPr="00E118C3" w:rsidRDefault="00DE2B28" w:rsidP="00DE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месец май 2016г. басейновите дирекции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са извършвали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относно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:</w:t>
      </w:r>
    </w:p>
    <w:p w:rsidR="00DE2B28" w:rsidRPr="00E118C3" w:rsidRDefault="00DE2B28" w:rsidP="00DE2B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състояние и проводимост на речните легла и на заустващите съоръжения;</w:t>
      </w:r>
    </w:p>
    <w:p w:rsidR="00DE2B28" w:rsidRPr="00E118C3" w:rsidRDefault="00DE2B28" w:rsidP="00DE2B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дейности, извършвани в речните легла;</w:t>
      </w:r>
    </w:p>
    <w:p w:rsidR="00DE2B28" w:rsidRPr="00E118C3" w:rsidRDefault="00DE2B28" w:rsidP="00DE2B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състояние и правилна експлоатация на водовземните съоръжения, съоръженията за използване на повърхностните и подземните води и съоръженията за измерване на водите;</w:t>
      </w:r>
    </w:p>
    <w:p w:rsidR="00DE2B28" w:rsidRPr="00E118C3" w:rsidRDefault="00DE2B28" w:rsidP="00DE2B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количества и качества на водите;</w:t>
      </w:r>
    </w:p>
    <w:p w:rsidR="00DE2B28" w:rsidRPr="00E118C3" w:rsidRDefault="00DE2B28" w:rsidP="00DE2B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спазване на условията в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издадени разрешителни по реда на ЗВ;</w:t>
      </w:r>
    </w:p>
    <w:p w:rsidR="00DE2B28" w:rsidRPr="00E118C3" w:rsidRDefault="00DE2B28" w:rsidP="00DE2B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сигнали и жалби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подадени от граждани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юридически лица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DE2B28" w:rsidRPr="00E118C3" w:rsidRDefault="00DE2B28" w:rsidP="00DE2B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изпълнение на режимните графици за използване на водите на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комплексните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язовири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др.</w:t>
      </w:r>
    </w:p>
    <w:p w:rsidR="00F81A8E" w:rsidRPr="007A5FE8" w:rsidRDefault="00DE2B28" w:rsidP="007A5FE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Изпълняван е</w:t>
      </w:r>
      <w:r w:rsidR="00D00663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</w:t>
      </w:r>
      <w:r w:rsidR="00AD054D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асилен превантивен контрол </w:t>
      </w:r>
      <w:r w:rsidR="00F81A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 осигуряване на</w:t>
      </w:r>
      <w:r w:rsidR="008D7FBE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проводимост</w:t>
      </w:r>
      <w:r w:rsidR="00DD3BEE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речните легла и участъка до 500м. след язовирн</w:t>
      </w:r>
      <w:r w:rsidR="008D7FBE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ите</w:t>
      </w:r>
      <w:r w:rsidR="00DD3BEE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стен</w:t>
      </w:r>
      <w:r w:rsidR="008D7FBE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и, както и</w:t>
      </w:r>
      <w:r w:rsidR="005E6C38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последващ контрол на дадени </w:t>
      </w:r>
      <w:r w:rsidR="008D7FBE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 тази връзка </w:t>
      </w:r>
      <w:r w:rsidR="005E6C38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предписания</w:t>
      </w:r>
      <w:r w:rsidR="00980C66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3837E9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980C66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</w:t>
      </w:r>
      <w:r w:rsidR="008D7FBE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ри осъществените</w:t>
      </w:r>
      <w:r w:rsidR="00DD3BEE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681DAC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460 </w:t>
      </w:r>
      <w:r w:rsidR="00D00663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проверки</w:t>
      </w:r>
      <w:r w:rsidR="003710FC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CD36ED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са направени </w:t>
      </w:r>
      <w:r w:rsidR="00D4120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195</w:t>
      </w:r>
      <w:r w:rsidR="00CD36ED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броя предписания </w:t>
      </w:r>
      <w:r w:rsidR="00D4120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</w:t>
      </w:r>
      <w:r w:rsidR="00CD36ED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осигуряване на проводимост, премахване на дънери и растителност от речните легла,</w:t>
      </w:r>
      <w:r w:rsidR="003710FC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предприемане на действия за доизграждане на предпазни диги, </w:t>
      </w:r>
      <w:r w:rsidR="00AD054D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представяне </w:t>
      </w:r>
      <w:r w:rsidR="003710FC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 авариен план и др. При </w:t>
      </w:r>
      <w:r w:rsidR="009C32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над половината</w:t>
      </w:r>
      <w:r w:rsidR="003710FC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9C321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от проверените участъци </w:t>
      </w:r>
      <w:r w:rsidR="003710FC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не е установено нарушаване на проводимостта на речното легло</w:t>
      </w:r>
      <w:r w:rsidR="00AD054D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участъка до 500м. след язовирната </w:t>
      </w:r>
      <w:r w:rsidR="00AD054D"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стена</w:t>
      </w:r>
      <w:r w:rsidR="007A5FE8"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което е предпоставка за липса на застрашаващи ситуации при провеждане на високи води.</w:t>
      </w:r>
      <w:r w:rsidR="00D00663"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DD3BEE" w:rsidRPr="007A5FE8" w:rsidRDefault="00D00663" w:rsidP="00DD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Пода</w:t>
      </w:r>
      <w:r w:rsidR="00980C66"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дените през месеца</w:t>
      </w:r>
      <w:r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сигнали </w:t>
      </w:r>
      <w:r w:rsidR="00980C66"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от граждани и юридически лица </w:t>
      </w:r>
      <w:r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се отнасят за</w:t>
      </w:r>
      <w:r w:rsidR="00B53727"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 нерегламентирано изземване на инертни материали, неосигуряване на минималния отток в реките, замърсяване с отпадни води в реките и в Черно море и др.</w:t>
      </w:r>
    </w:p>
    <w:p w:rsidR="00E57683" w:rsidRPr="00E118C3" w:rsidRDefault="00B72785" w:rsidP="007A5FE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През месец </w:t>
      </w:r>
      <w:r w:rsidR="003837E9"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май</w:t>
      </w:r>
      <w:r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2016г. </w:t>
      </w:r>
      <w:r w:rsidR="00A04BCD" w:rsidRPr="007A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експертите на басейновите дирекции са направили 422 броя предписания за отстраняване на констатирани нередности и са съставени 40 Акта за установяване на административно нарушение, като от тях 1 брой е за неизпълнение на</w:t>
      </w:r>
      <w:r w:rsidR="00A04BCD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даден</w:t>
      </w:r>
      <w:r w:rsidR="00A04BC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 </w:t>
      </w:r>
      <w:r w:rsidR="00A04BCD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предписани</w:t>
      </w:r>
      <w:r w:rsidR="00A04BC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е</w:t>
      </w:r>
      <w:r w:rsidR="00A04BCD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A04BC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здадени </w:t>
      </w:r>
      <w:r w:rsidR="00A04BC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са </w:t>
      </w:r>
      <w:r w:rsidR="00D4120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41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броя Наказателни постановления на </w:t>
      </w:r>
      <w:r w:rsidR="00A04BC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обща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стойност </w:t>
      </w:r>
      <w:r w:rsidR="00D4120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57 672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лв. и </w:t>
      </w:r>
      <w:r w:rsidR="00D4120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8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броя Акт за установяване на публично държавно вземане на </w:t>
      </w:r>
      <w:r w:rsidR="00A04BC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обща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стойност </w:t>
      </w:r>
      <w:r w:rsidR="00D4120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2 003 883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лв., като през периода събраните суми от издадени наказателни постановления са в размер на </w:t>
      </w:r>
      <w:r w:rsidR="00D4120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56 830 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лв., а от актовете за установяване на публично държавно вземане са </w:t>
      </w:r>
      <w:r w:rsidR="00D4120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197 304</w:t>
      </w:r>
      <w:r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лв.</w:t>
      </w:r>
      <w:r w:rsidR="00B6729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0531F1" w:rsidRPr="00E118C3" w:rsidRDefault="000531F1" w:rsidP="000B6BD2">
      <w:pPr>
        <w:tabs>
          <w:tab w:val="left" w:pos="0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84978" w:rsidRPr="00E118C3" w:rsidRDefault="000B6BD2" w:rsidP="000B6BD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8C3">
        <w:rPr>
          <w:rFonts w:ascii="Times New Roman" w:hAnsi="Times New Roman" w:cs="Times New Roman"/>
          <w:b/>
          <w:i/>
          <w:sz w:val="24"/>
          <w:szCs w:val="24"/>
        </w:rPr>
        <w:t>III.Кратък анализ на постигнатите резултати в областта на опазване на околната среда, от осъществената контролна дейност.</w:t>
      </w:r>
    </w:p>
    <w:p w:rsidR="00DC7FCF" w:rsidRPr="00E118C3" w:rsidRDefault="00DC7FCF" w:rsidP="000B6BD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6911" w:rsidRPr="00E118C3" w:rsidRDefault="00B14754" w:rsidP="000B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C3">
        <w:rPr>
          <w:rFonts w:ascii="Times New Roman" w:hAnsi="Times New Roman" w:cs="Times New Roman"/>
          <w:sz w:val="24"/>
          <w:szCs w:val="24"/>
        </w:rPr>
        <w:tab/>
      </w:r>
      <w:r w:rsidR="00C84ACC" w:rsidRPr="00E118C3">
        <w:rPr>
          <w:rFonts w:ascii="Times New Roman" w:hAnsi="Times New Roman" w:cs="Times New Roman"/>
          <w:sz w:val="24"/>
          <w:szCs w:val="24"/>
        </w:rPr>
        <w:t xml:space="preserve">Над </w:t>
      </w:r>
      <w:r w:rsidR="00D41200" w:rsidRPr="00E118C3">
        <w:rPr>
          <w:rFonts w:ascii="Times New Roman" w:hAnsi="Times New Roman" w:cs="Times New Roman"/>
          <w:sz w:val="24"/>
          <w:szCs w:val="24"/>
        </w:rPr>
        <w:t xml:space="preserve">70 </w:t>
      </w:r>
      <w:r w:rsidR="00DA4468" w:rsidRPr="00E118C3">
        <w:rPr>
          <w:rFonts w:ascii="Times New Roman" w:hAnsi="Times New Roman" w:cs="Times New Roman"/>
          <w:sz w:val="24"/>
          <w:szCs w:val="24"/>
        </w:rPr>
        <w:t xml:space="preserve">% от </w:t>
      </w:r>
      <w:r w:rsidR="007A5FE8">
        <w:rPr>
          <w:rFonts w:ascii="Times New Roman" w:hAnsi="Times New Roman" w:cs="Times New Roman"/>
          <w:sz w:val="24"/>
          <w:szCs w:val="24"/>
        </w:rPr>
        <w:t xml:space="preserve">осъществените </w:t>
      </w:r>
      <w:r w:rsidR="007A5FE8" w:rsidRPr="00E118C3">
        <w:rPr>
          <w:rFonts w:ascii="Times New Roman" w:hAnsi="Times New Roman" w:cs="Times New Roman"/>
          <w:sz w:val="24"/>
          <w:szCs w:val="24"/>
        </w:rPr>
        <w:t xml:space="preserve">1041 броя </w:t>
      </w:r>
      <w:r w:rsidR="00DA4468" w:rsidRPr="00E118C3">
        <w:rPr>
          <w:rFonts w:ascii="Times New Roman" w:hAnsi="Times New Roman" w:cs="Times New Roman"/>
          <w:sz w:val="24"/>
          <w:szCs w:val="24"/>
        </w:rPr>
        <w:t>проверки</w:t>
      </w:r>
      <w:r w:rsidR="0066442B">
        <w:rPr>
          <w:rFonts w:ascii="Times New Roman" w:hAnsi="Times New Roman" w:cs="Times New Roman"/>
          <w:sz w:val="24"/>
          <w:szCs w:val="24"/>
        </w:rPr>
        <w:t xml:space="preserve"> през месеца</w:t>
      </w:r>
      <w:r w:rsidR="00DA4468" w:rsidRPr="00E118C3">
        <w:rPr>
          <w:rFonts w:ascii="Times New Roman" w:hAnsi="Times New Roman" w:cs="Times New Roman"/>
          <w:sz w:val="24"/>
          <w:szCs w:val="24"/>
        </w:rPr>
        <w:t xml:space="preserve"> </w:t>
      </w:r>
      <w:r w:rsidR="0066442B">
        <w:rPr>
          <w:rFonts w:ascii="Times New Roman" w:hAnsi="Times New Roman" w:cs="Times New Roman"/>
          <w:sz w:val="24"/>
          <w:szCs w:val="24"/>
        </w:rPr>
        <w:t xml:space="preserve">не са свързани с планиран контрол по спазване условията в разрешителните, а са инициирани с цел проверка за </w:t>
      </w:r>
      <w:r w:rsidR="004F5EC8" w:rsidRPr="00E118C3">
        <w:rPr>
          <w:rFonts w:ascii="Times New Roman" w:hAnsi="Times New Roman" w:cs="Times New Roman"/>
          <w:sz w:val="24"/>
          <w:szCs w:val="24"/>
        </w:rPr>
        <w:t>осигуряване на проводимост</w:t>
      </w:r>
      <w:r w:rsidR="0066442B">
        <w:rPr>
          <w:rFonts w:ascii="Times New Roman" w:hAnsi="Times New Roman" w:cs="Times New Roman"/>
          <w:sz w:val="24"/>
          <w:szCs w:val="24"/>
        </w:rPr>
        <w:t>та</w:t>
      </w:r>
      <w:r w:rsidR="004F5EC8" w:rsidRPr="00E118C3">
        <w:rPr>
          <w:rFonts w:ascii="Times New Roman" w:hAnsi="Times New Roman" w:cs="Times New Roman"/>
          <w:sz w:val="24"/>
          <w:szCs w:val="24"/>
        </w:rPr>
        <w:t xml:space="preserve"> на речните легла</w:t>
      </w:r>
      <w:r w:rsidR="0066442B">
        <w:rPr>
          <w:rFonts w:ascii="Times New Roman" w:hAnsi="Times New Roman" w:cs="Times New Roman"/>
          <w:sz w:val="24"/>
          <w:szCs w:val="24"/>
        </w:rPr>
        <w:t xml:space="preserve"> и </w:t>
      </w:r>
      <w:r w:rsidR="004F5EC8" w:rsidRPr="00E118C3">
        <w:rPr>
          <w:rFonts w:ascii="Times New Roman" w:hAnsi="Times New Roman" w:cs="Times New Roman"/>
          <w:sz w:val="24"/>
          <w:szCs w:val="24"/>
        </w:rPr>
        <w:t xml:space="preserve"> участъка до 500м след язовирн</w:t>
      </w:r>
      <w:r w:rsidR="00980C66" w:rsidRPr="00E118C3">
        <w:rPr>
          <w:rFonts w:ascii="Times New Roman" w:hAnsi="Times New Roman" w:cs="Times New Roman"/>
          <w:sz w:val="24"/>
          <w:szCs w:val="24"/>
        </w:rPr>
        <w:t>ите стени</w:t>
      </w:r>
      <w:r w:rsidR="004F5EC8" w:rsidRPr="00E118C3">
        <w:rPr>
          <w:rFonts w:ascii="Times New Roman" w:hAnsi="Times New Roman" w:cs="Times New Roman"/>
          <w:sz w:val="24"/>
          <w:szCs w:val="24"/>
        </w:rPr>
        <w:t xml:space="preserve">, </w:t>
      </w:r>
      <w:r w:rsidR="0066442B">
        <w:rPr>
          <w:rFonts w:ascii="Times New Roman" w:hAnsi="Times New Roman" w:cs="Times New Roman"/>
          <w:sz w:val="24"/>
          <w:szCs w:val="24"/>
        </w:rPr>
        <w:t xml:space="preserve">за </w:t>
      </w:r>
      <w:r w:rsidR="00980C66" w:rsidRPr="00E118C3">
        <w:rPr>
          <w:rFonts w:ascii="Times New Roman" w:hAnsi="Times New Roman" w:cs="Times New Roman"/>
          <w:sz w:val="24"/>
          <w:szCs w:val="24"/>
        </w:rPr>
        <w:t xml:space="preserve">спазване на </w:t>
      </w:r>
      <w:r w:rsidR="004D757D" w:rsidRPr="00E118C3">
        <w:rPr>
          <w:rFonts w:ascii="Times New Roman" w:hAnsi="Times New Roman" w:cs="Times New Roman"/>
          <w:sz w:val="24"/>
          <w:szCs w:val="24"/>
        </w:rPr>
        <w:t>режимни</w:t>
      </w:r>
      <w:r w:rsidR="00980C66" w:rsidRPr="00E118C3">
        <w:rPr>
          <w:rFonts w:ascii="Times New Roman" w:hAnsi="Times New Roman" w:cs="Times New Roman"/>
          <w:sz w:val="24"/>
          <w:szCs w:val="24"/>
        </w:rPr>
        <w:t>те</w:t>
      </w:r>
      <w:r w:rsidR="004D757D" w:rsidRPr="00E118C3">
        <w:rPr>
          <w:rFonts w:ascii="Times New Roman" w:hAnsi="Times New Roman" w:cs="Times New Roman"/>
          <w:sz w:val="24"/>
          <w:szCs w:val="24"/>
        </w:rPr>
        <w:t xml:space="preserve"> графици на комплексни</w:t>
      </w:r>
      <w:r w:rsidR="00980C66" w:rsidRPr="00E118C3">
        <w:rPr>
          <w:rFonts w:ascii="Times New Roman" w:hAnsi="Times New Roman" w:cs="Times New Roman"/>
          <w:sz w:val="24"/>
          <w:szCs w:val="24"/>
        </w:rPr>
        <w:t>те</w:t>
      </w:r>
      <w:r w:rsidR="004D757D" w:rsidRPr="00E118C3">
        <w:rPr>
          <w:rFonts w:ascii="Times New Roman" w:hAnsi="Times New Roman" w:cs="Times New Roman"/>
          <w:sz w:val="24"/>
          <w:szCs w:val="24"/>
        </w:rPr>
        <w:t xml:space="preserve"> язовири, </w:t>
      </w:r>
      <w:r w:rsidR="0066442B">
        <w:rPr>
          <w:rFonts w:ascii="Times New Roman" w:hAnsi="Times New Roman" w:cs="Times New Roman"/>
          <w:sz w:val="24"/>
          <w:szCs w:val="24"/>
        </w:rPr>
        <w:t>по</w:t>
      </w:r>
      <w:r w:rsidR="0066442B" w:rsidRPr="00E118C3">
        <w:rPr>
          <w:rFonts w:ascii="Times New Roman" w:hAnsi="Times New Roman" w:cs="Times New Roman"/>
          <w:sz w:val="24"/>
          <w:szCs w:val="24"/>
        </w:rPr>
        <w:t xml:space="preserve"> подадени сигнали и жалби от граждани </w:t>
      </w:r>
      <w:r w:rsidR="0066442B">
        <w:rPr>
          <w:rFonts w:ascii="Times New Roman" w:hAnsi="Times New Roman" w:cs="Times New Roman"/>
          <w:sz w:val="24"/>
          <w:szCs w:val="24"/>
        </w:rPr>
        <w:t>или</w:t>
      </w:r>
      <w:r w:rsidR="00DA4468" w:rsidRPr="00E118C3">
        <w:rPr>
          <w:rFonts w:ascii="Times New Roman" w:hAnsi="Times New Roman" w:cs="Times New Roman"/>
          <w:sz w:val="24"/>
          <w:szCs w:val="24"/>
        </w:rPr>
        <w:t xml:space="preserve"> </w:t>
      </w:r>
      <w:r w:rsidR="0066442B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DA4468" w:rsidRPr="00E118C3">
        <w:rPr>
          <w:rFonts w:ascii="Times New Roman" w:hAnsi="Times New Roman" w:cs="Times New Roman"/>
          <w:sz w:val="24"/>
          <w:szCs w:val="24"/>
        </w:rPr>
        <w:t>съвместни проверки</w:t>
      </w:r>
      <w:r w:rsidR="0066442B">
        <w:rPr>
          <w:rFonts w:ascii="Times New Roman" w:hAnsi="Times New Roman" w:cs="Times New Roman"/>
          <w:sz w:val="24"/>
          <w:szCs w:val="24"/>
        </w:rPr>
        <w:t xml:space="preserve"> с компетентни институции</w:t>
      </w:r>
      <w:r w:rsidR="00DA4468" w:rsidRPr="00E118C3">
        <w:rPr>
          <w:rFonts w:ascii="Times New Roman" w:hAnsi="Times New Roman" w:cs="Times New Roman"/>
          <w:sz w:val="24"/>
          <w:szCs w:val="24"/>
        </w:rPr>
        <w:t>.</w:t>
      </w:r>
    </w:p>
    <w:p w:rsidR="00616DB6" w:rsidRPr="00E118C3" w:rsidRDefault="00BD6EBE" w:rsidP="000B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C3">
        <w:rPr>
          <w:rFonts w:ascii="Times New Roman" w:hAnsi="Times New Roman" w:cs="Times New Roman"/>
          <w:sz w:val="24"/>
          <w:szCs w:val="24"/>
        </w:rPr>
        <w:tab/>
      </w:r>
      <w:r w:rsidR="005D76EB">
        <w:rPr>
          <w:rFonts w:ascii="Times New Roman" w:hAnsi="Times New Roman" w:cs="Times New Roman"/>
          <w:sz w:val="24"/>
          <w:szCs w:val="24"/>
        </w:rPr>
        <w:t>П</w:t>
      </w:r>
      <w:r w:rsidR="00616DB6" w:rsidRPr="00E118C3">
        <w:rPr>
          <w:rFonts w:ascii="Times New Roman" w:hAnsi="Times New Roman" w:cs="Times New Roman"/>
          <w:sz w:val="24"/>
          <w:szCs w:val="24"/>
        </w:rPr>
        <w:t>роверките</w:t>
      </w:r>
      <w:r w:rsidR="005D76EB">
        <w:rPr>
          <w:rFonts w:ascii="Times New Roman" w:hAnsi="Times New Roman" w:cs="Times New Roman"/>
          <w:sz w:val="24"/>
          <w:szCs w:val="24"/>
        </w:rPr>
        <w:t>, свързани с</w:t>
      </w:r>
      <w:r w:rsidR="00616DB6" w:rsidRPr="00E118C3">
        <w:rPr>
          <w:rFonts w:ascii="Times New Roman" w:hAnsi="Times New Roman" w:cs="Times New Roman"/>
          <w:sz w:val="24"/>
          <w:szCs w:val="24"/>
        </w:rPr>
        <w:t xml:space="preserve"> </w:t>
      </w:r>
      <w:r w:rsidR="005D76EB">
        <w:rPr>
          <w:rFonts w:ascii="Times New Roman" w:hAnsi="Times New Roman" w:cs="Times New Roman"/>
          <w:sz w:val="24"/>
          <w:szCs w:val="24"/>
        </w:rPr>
        <w:t>изпълнението на</w:t>
      </w:r>
      <w:r w:rsidR="00616DB6" w:rsidRPr="00E118C3">
        <w:rPr>
          <w:rFonts w:ascii="Times New Roman" w:hAnsi="Times New Roman" w:cs="Times New Roman"/>
          <w:sz w:val="24"/>
          <w:szCs w:val="24"/>
        </w:rPr>
        <w:t xml:space="preserve"> условията </w:t>
      </w:r>
      <w:r w:rsidR="005D76EB">
        <w:rPr>
          <w:rFonts w:ascii="Times New Roman" w:hAnsi="Times New Roman" w:cs="Times New Roman"/>
          <w:sz w:val="24"/>
          <w:szCs w:val="24"/>
        </w:rPr>
        <w:t>в</w:t>
      </w:r>
      <w:r w:rsidR="00616DB6" w:rsidRPr="00E118C3">
        <w:rPr>
          <w:rFonts w:ascii="Times New Roman" w:hAnsi="Times New Roman" w:cs="Times New Roman"/>
          <w:sz w:val="24"/>
          <w:szCs w:val="24"/>
        </w:rPr>
        <w:t xml:space="preserve"> издаде</w:t>
      </w:r>
      <w:r w:rsidR="005D76EB">
        <w:rPr>
          <w:rFonts w:ascii="Times New Roman" w:hAnsi="Times New Roman" w:cs="Times New Roman"/>
          <w:sz w:val="24"/>
          <w:szCs w:val="24"/>
        </w:rPr>
        <w:t>ните разрешителни по реда на ЗВ, с</w:t>
      </w:r>
      <w:r w:rsidR="00616DB6" w:rsidRPr="00E118C3">
        <w:rPr>
          <w:rFonts w:ascii="Times New Roman" w:hAnsi="Times New Roman" w:cs="Times New Roman"/>
          <w:sz w:val="24"/>
          <w:szCs w:val="24"/>
        </w:rPr>
        <w:t xml:space="preserve">а основно </w:t>
      </w:r>
      <w:r w:rsidR="005D76EB">
        <w:rPr>
          <w:rFonts w:ascii="Times New Roman" w:hAnsi="Times New Roman" w:cs="Times New Roman"/>
          <w:sz w:val="24"/>
          <w:szCs w:val="24"/>
        </w:rPr>
        <w:t>с цел верификация на данните, п</w:t>
      </w:r>
      <w:r w:rsidR="00454FAF" w:rsidRPr="00E118C3">
        <w:rPr>
          <w:rFonts w:ascii="Times New Roman" w:hAnsi="Times New Roman" w:cs="Times New Roman"/>
          <w:sz w:val="24"/>
          <w:szCs w:val="24"/>
        </w:rPr>
        <w:t xml:space="preserve">одадени </w:t>
      </w:r>
      <w:r w:rsidR="005D76EB">
        <w:rPr>
          <w:rFonts w:ascii="Times New Roman" w:hAnsi="Times New Roman" w:cs="Times New Roman"/>
          <w:sz w:val="24"/>
          <w:szCs w:val="24"/>
        </w:rPr>
        <w:t xml:space="preserve">в </w:t>
      </w:r>
      <w:r w:rsidR="005D76EB" w:rsidRPr="00E118C3">
        <w:rPr>
          <w:rFonts w:ascii="Times New Roman" w:hAnsi="Times New Roman" w:cs="Times New Roman"/>
          <w:sz w:val="24"/>
          <w:szCs w:val="24"/>
        </w:rPr>
        <w:t>декларация</w:t>
      </w:r>
      <w:r w:rsidR="005D76EB">
        <w:rPr>
          <w:rFonts w:ascii="Times New Roman" w:hAnsi="Times New Roman" w:cs="Times New Roman"/>
          <w:sz w:val="24"/>
          <w:szCs w:val="24"/>
        </w:rPr>
        <w:t>та</w:t>
      </w:r>
      <w:r w:rsidR="00454FAF" w:rsidRPr="00E118C3">
        <w:rPr>
          <w:rFonts w:ascii="Times New Roman" w:hAnsi="Times New Roman" w:cs="Times New Roman"/>
          <w:sz w:val="24"/>
          <w:szCs w:val="24"/>
        </w:rPr>
        <w:t xml:space="preserve"> за изчисляване на дължимата такса по чл.194б от ЗВ</w:t>
      </w:r>
      <w:r w:rsidR="005D76EB">
        <w:rPr>
          <w:rFonts w:ascii="Times New Roman" w:hAnsi="Times New Roman" w:cs="Times New Roman"/>
          <w:sz w:val="24"/>
          <w:szCs w:val="24"/>
        </w:rPr>
        <w:t xml:space="preserve"> за</w:t>
      </w:r>
      <w:r w:rsidRPr="00E118C3">
        <w:rPr>
          <w:rFonts w:ascii="Times New Roman" w:hAnsi="Times New Roman" w:cs="Times New Roman"/>
          <w:sz w:val="24"/>
          <w:szCs w:val="24"/>
        </w:rPr>
        <w:t xml:space="preserve"> </w:t>
      </w:r>
      <w:r w:rsidR="005D76EB">
        <w:rPr>
          <w:rFonts w:ascii="Times New Roman" w:hAnsi="Times New Roman" w:cs="Times New Roman"/>
          <w:sz w:val="24"/>
          <w:szCs w:val="24"/>
        </w:rPr>
        <w:t xml:space="preserve">потребените </w:t>
      </w:r>
      <w:r w:rsidRPr="00E118C3">
        <w:rPr>
          <w:rFonts w:ascii="Times New Roman" w:hAnsi="Times New Roman" w:cs="Times New Roman"/>
          <w:sz w:val="24"/>
          <w:szCs w:val="24"/>
        </w:rPr>
        <w:t>количе</w:t>
      </w:r>
      <w:r w:rsidR="00314BD2" w:rsidRPr="00E118C3">
        <w:rPr>
          <w:rFonts w:ascii="Times New Roman" w:hAnsi="Times New Roman" w:cs="Times New Roman"/>
          <w:sz w:val="24"/>
          <w:szCs w:val="24"/>
        </w:rPr>
        <w:t>ства за водовземане, ползване на воден обект и замърсяване</w:t>
      </w:r>
      <w:r w:rsidR="00454FAF" w:rsidRPr="00E118C3">
        <w:rPr>
          <w:rFonts w:ascii="Times New Roman" w:hAnsi="Times New Roman" w:cs="Times New Roman"/>
          <w:sz w:val="24"/>
          <w:szCs w:val="24"/>
        </w:rPr>
        <w:t>,</w:t>
      </w:r>
      <w:r w:rsidR="00B0631E" w:rsidRPr="00E118C3">
        <w:rPr>
          <w:rFonts w:ascii="Times New Roman" w:hAnsi="Times New Roman" w:cs="Times New Roman"/>
          <w:sz w:val="24"/>
          <w:szCs w:val="24"/>
        </w:rPr>
        <w:t xml:space="preserve"> както и за</w:t>
      </w:r>
      <w:r w:rsidR="00454FAF" w:rsidRPr="00E118C3">
        <w:rPr>
          <w:rFonts w:ascii="Times New Roman" w:hAnsi="Times New Roman" w:cs="Times New Roman"/>
          <w:sz w:val="24"/>
          <w:szCs w:val="24"/>
        </w:rPr>
        <w:t xml:space="preserve"> </w:t>
      </w:r>
      <w:r w:rsidR="005D76EB">
        <w:rPr>
          <w:rFonts w:ascii="Times New Roman" w:hAnsi="Times New Roman" w:cs="Times New Roman"/>
          <w:sz w:val="24"/>
          <w:szCs w:val="24"/>
        </w:rPr>
        <w:t>изчисляване и за</w:t>
      </w:r>
      <w:r w:rsidR="00B0631E" w:rsidRPr="00E118C3">
        <w:rPr>
          <w:rFonts w:ascii="Times New Roman" w:hAnsi="Times New Roman" w:cs="Times New Roman"/>
          <w:sz w:val="24"/>
          <w:szCs w:val="24"/>
        </w:rPr>
        <w:t>плащане на дължимите такси</w:t>
      </w:r>
      <w:r w:rsidR="00DD785F" w:rsidRPr="00E118C3">
        <w:rPr>
          <w:rFonts w:ascii="Times New Roman" w:hAnsi="Times New Roman" w:cs="Times New Roman"/>
          <w:sz w:val="24"/>
          <w:szCs w:val="24"/>
        </w:rPr>
        <w:t xml:space="preserve">. </w:t>
      </w:r>
      <w:r w:rsidR="000B535C">
        <w:rPr>
          <w:rFonts w:ascii="Times New Roman" w:hAnsi="Times New Roman" w:cs="Times New Roman"/>
          <w:sz w:val="24"/>
          <w:szCs w:val="24"/>
        </w:rPr>
        <w:t xml:space="preserve">За установените несъбрани вземания </w:t>
      </w:r>
      <w:r w:rsidR="00B0631E" w:rsidRPr="00E118C3">
        <w:rPr>
          <w:rFonts w:ascii="Times New Roman" w:hAnsi="Times New Roman" w:cs="Times New Roman"/>
          <w:sz w:val="24"/>
          <w:szCs w:val="24"/>
        </w:rPr>
        <w:t xml:space="preserve">Басейновите дирекции са </w:t>
      </w:r>
      <w:r w:rsidR="000B535C">
        <w:rPr>
          <w:rFonts w:ascii="Times New Roman" w:hAnsi="Times New Roman" w:cs="Times New Roman"/>
          <w:sz w:val="24"/>
          <w:szCs w:val="24"/>
        </w:rPr>
        <w:t xml:space="preserve">предприели действия пи събирането им като са </w:t>
      </w:r>
      <w:r w:rsidRPr="00E118C3">
        <w:rPr>
          <w:rFonts w:ascii="Times New Roman" w:hAnsi="Times New Roman" w:cs="Times New Roman"/>
          <w:sz w:val="24"/>
          <w:szCs w:val="24"/>
        </w:rPr>
        <w:t xml:space="preserve">изпратили </w:t>
      </w:r>
      <w:r w:rsidR="000B535C" w:rsidRPr="00E118C3">
        <w:rPr>
          <w:rFonts w:ascii="Times New Roman" w:hAnsi="Times New Roman" w:cs="Times New Roman"/>
          <w:sz w:val="24"/>
          <w:szCs w:val="24"/>
        </w:rPr>
        <w:t>на титулярите на разрешителните</w:t>
      </w:r>
      <w:r w:rsidR="000B535C">
        <w:rPr>
          <w:rFonts w:ascii="Times New Roman" w:hAnsi="Times New Roman" w:cs="Times New Roman"/>
          <w:sz w:val="24"/>
          <w:szCs w:val="24"/>
        </w:rPr>
        <w:t xml:space="preserve"> п</w:t>
      </w:r>
      <w:r w:rsidRPr="00E118C3">
        <w:rPr>
          <w:rFonts w:ascii="Times New Roman" w:hAnsi="Times New Roman" w:cs="Times New Roman"/>
          <w:sz w:val="24"/>
          <w:szCs w:val="24"/>
        </w:rPr>
        <w:t>окани за доброволно изпълнение за заплащане на дължими такси</w:t>
      </w:r>
      <w:r w:rsidR="001E513E" w:rsidRPr="00E118C3">
        <w:rPr>
          <w:rFonts w:ascii="Times New Roman" w:hAnsi="Times New Roman" w:cs="Times New Roman"/>
          <w:sz w:val="24"/>
          <w:szCs w:val="24"/>
        </w:rPr>
        <w:t>.</w:t>
      </w:r>
    </w:p>
    <w:p w:rsidR="009F242A" w:rsidRPr="00E118C3" w:rsidRDefault="00616DB6" w:rsidP="000B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C3">
        <w:rPr>
          <w:rFonts w:ascii="Times New Roman" w:hAnsi="Times New Roman" w:cs="Times New Roman"/>
          <w:sz w:val="24"/>
          <w:szCs w:val="24"/>
        </w:rPr>
        <w:tab/>
      </w:r>
      <w:r w:rsidR="009F242A" w:rsidRPr="00E118C3">
        <w:rPr>
          <w:rFonts w:ascii="Times New Roman" w:hAnsi="Times New Roman" w:cs="Times New Roman"/>
          <w:sz w:val="24"/>
          <w:szCs w:val="24"/>
        </w:rPr>
        <w:t xml:space="preserve">При </w:t>
      </w:r>
      <w:r w:rsidR="004D757D" w:rsidRPr="00E118C3">
        <w:rPr>
          <w:rFonts w:ascii="Times New Roman" w:hAnsi="Times New Roman" w:cs="Times New Roman"/>
          <w:sz w:val="24"/>
          <w:szCs w:val="24"/>
        </w:rPr>
        <w:t xml:space="preserve">40 </w:t>
      </w:r>
      <w:r w:rsidR="009F242A" w:rsidRPr="00E118C3">
        <w:rPr>
          <w:rFonts w:ascii="Times New Roman" w:hAnsi="Times New Roman" w:cs="Times New Roman"/>
          <w:sz w:val="24"/>
          <w:szCs w:val="24"/>
        </w:rPr>
        <w:t xml:space="preserve">% от направените </w:t>
      </w:r>
      <w:r w:rsidR="00995D6E">
        <w:rPr>
          <w:rFonts w:ascii="Times New Roman" w:hAnsi="Times New Roman" w:cs="Times New Roman"/>
          <w:sz w:val="24"/>
          <w:szCs w:val="24"/>
        </w:rPr>
        <w:t xml:space="preserve">през месеца </w:t>
      </w:r>
      <w:r w:rsidR="009F242A" w:rsidRPr="00E118C3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000C59" w:rsidRPr="00E118C3">
        <w:rPr>
          <w:rFonts w:ascii="Times New Roman" w:hAnsi="Times New Roman" w:cs="Times New Roman"/>
          <w:sz w:val="24"/>
          <w:szCs w:val="24"/>
        </w:rPr>
        <w:t xml:space="preserve">са </w:t>
      </w:r>
      <w:r w:rsidR="00FE7227" w:rsidRPr="00E118C3">
        <w:rPr>
          <w:rFonts w:ascii="Times New Roman" w:hAnsi="Times New Roman" w:cs="Times New Roman"/>
          <w:sz w:val="24"/>
          <w:szCs w:val="24"/>
        </w:rPr>
        <w:t>дадени</w:t>
      </w:r>
      <w:r w:rsidR="009F242A" w:rsidRPr="00E118C3">
        <w:rPr>
          <w:rFonts w:ascii="Times New Roman" w:hAnsi="Times New Roman" w:cs="Times New Roman"/>
          <w:sz w:val="24"/>
          <w:szCs w:val="24"/>
        </w:rPr>
        <w:t xml:space="preserve"> предписания </w:t>
      </w:r>
      <w:r w:rsidR="00414570">
        <w:rPr>
          <w:rFonts w:ascii="Times New Roman" w:hAnsi="Times New Roman" w:cs="Times New Roman"/>
          <w:sz w:val="24"/>
          <w:szCs w:val="24"/>
        </w:rPr>
        <w:t>за:</w:t>
      </w:r>
      <w:r w:rsidR="009F242A" w:rsidRPr="00E118C3">
        <w:rPr>
          <w:rFonts w:ascii="Times New Roman" w:hAnsi="Times New Roman" w:cs="Times New Roman"/>
          <w:sz w:val="24"/>
          <w:szCs w:val="24"/>
        </w:rPr>
        <w:t xml:space="preserve"> </w:t>
      </w:r>
      <w:r w:rsidR="00EA2665" w:rsidRPr="00E118C3">
        <w:rPr>
          <w:rFonts w:ascii="Times New Roman" w:hAnsi="Times New Roman" w:cs="Times New Roman"/>
          <w:sz w:val="24"/>
          <w:szCs w:val="24"/>
        </w:rPr>
        <w:t>осигуряване</w:t>
      </w:r>
      <w:r w:rsidR="009F242A" w:rsidRPr="00E118C3">
        <w:rPr>
          <w:rFonts w:ascii="Times New Roman" w:hAnsi="Times New Roman" w:cs="Times New Roman"/>
          <w:sz w:val="24"/>
          <w:szCs w:val="24"/>
        </w:rPr>
        <w:t xml:space="preserve"> проводимостта на речните легла, подаване на необходимите документи за провеждане на процедури по реда на Закона за водите, </w:t>
      </w:r>
      <w:r w:rsidR="00B0631E" w:rsidRPr="00E118C3">
        <w:rPr>
          <w:rFonts w:ascii="Times New Roman" w:hAnsi="Times New Roman" w:cs="Times New Roman"/>
          <w:sz w:val="24"/>
          <w:szCs w:val="24"/>
        </w:rPr>
        <w:t>монтиране на водомерни устройства за измерване на ползваните и заустваните водни количества</w:t>
      </w:r>
      <w:r w:rsidR="00EA2665" w:rsidRPr="00E118C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21F0B" w:rsidRDefault="00A632CC" w:rsidP="0032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C3">
        <w:rPr>
          <w:rFonts w:ascii="Times New Roman" w:hAnsi="Times New Roman" w:cs="Times New Roman"/>
          <w:sz w:val="24"/>
          <w:szCs w:val="24"/>
        </w:rPr>
        <w:tab/>
      </w:r>
      <w:r w:rsidR="00206E5F">
        <w:rPr>
          <w:rFonts w:ascii="Times New Roman" w:hAnsi="Times New Roman" w:cs="Times New Roman"/>
          <w:sz w:val="24"/>
          <w:szCs w:val="24"/>
        </w:rPr>
        <w:t>Н</w:t>
      </w:r>
      <w:r w:rsidR="00FE7227" w:rsidRPr="00E118C3">
        <w:rPr>
          <w:rFonts w:ascii="Times New Roman" w:hAnsi="Times New Roman" w:cs="Times New Roman"/>
          <w:sz w:val="24"/>
          <w:szCs w:val="24"/>
        </w:rPr>
        <w:t>арушения на законовите разпоредби</w:t>
      </w:r>
      <w:r w:rsidR="00206E5F" w:rsidRPr="00206E5F">
        <w:rPr>
          <w:rFonts w:ascii="Times New Roman" w:hAnsi="Times New Roman" w:cs="Times New Roman"/>
          <w:sz w:val="24"/>
          <w:szCs w:val="24"/>
        </w:rPr>
        <w:t xml:space="preserve"> </w:t>
      </w:r>
      <w:r w:rsidR="00FE7227" w:rsidRPr="00E118C3">
        <w:rPr>
          <w:rFonts w:ascii="Times New Roman" w:hAnsi="Times New Roman" w:cs="Times New Roman"/>
          <w:sz w:val="24"/>
          <w:szCs w:val="24"/>
        </w:rPr>
        <w:t>свързани</w:t>
      </w:r>
      <w:r w:rsidR="00BD6EBE" w:rsidRPr="00E118C3">
        <w:rPr>
          <w:rFonts w:ascii="Times New Roman" w:hAnsi="Times New Roman" w:cs="Times New Roman"/>
          <w:sz w:val="24"/>
          <w:szCs w:val="24"/>
        </w:rPr>
        <w:t xml:space="preserve"> с отклонения от условията на издадени разрешителни, ползване на водни обекти </w:t>
      </w:r>
      <w:r w:rsidR="00206E5F">
        <w:rPr>
          <w:rFonts w:ascii="Times New Roman" w:hAnsi="Times New Roman" w:cs="Times New Roman"/>
          <w:sz w:val="24"/>
          <w:szCs w:val="24"/>
        </w:rPr>
        <w:t>и</w:t>
      </w:r>
      <w:r w:rsidR="00BD6EBE" w:rsidRPr="00E118C3">
        <w:rPr>
          <w:rFonts w:ascii="Times New Roman" w:hAnsi="Times New Roman" w:cs="Times New Roman"/>
          <w:sz w:val="24"/>
          <w:szCs w:val="24"/>
        </w:rPr>
        <w:t xml:space="preserve"> изграждане на водовземни съоръжения без основание</w:t>
      </w:r>
      <w:r w:rsidR="00995D6E" w:rsidRPr="00995D6E">
        <w:rPr>
          <w:rFonts w:ascii="Times New Roman" w:hAnsi="Times New Roman" w:cs="Times New Roman"/>
          <w:sz w:val="24"/>
          <w:szCs w:val="24"/>
        </w:rPr>
        <w:t xml:space="preserve"> </w:t>
      </w:r>
      <w:r w:rsidR="00995D6E" w:rsidRPr="00E118C3">
        <w:rPr>
          <w:rFonts w:ascii="Times New Roman" w:hAnsi="Times New Roman" w:cs="Times New Roman"/>
          <w:sz w:val="24"/>
          <w:szCs w:val="24"/>
        </w:rPr>
        <w:t>са констатирани</w:t>
      </w:r>
      <w:r w:rsidR="00995D6E" w:rsidRPr="00206E5F">
        <w:rPr>
          <w:rFonts w:ascii="Times New Roman" w:hAnsi="Times New Roman" w:cs="Times New Roman"/>
          <w:sz w:val="24"/>
          <w:szCs w:val="24"/>
        </w:rPr>
        <w:t xml:space="preserve"> </w:t>
      </w:r>
      <w:r w:rsidR="00995D6E">
        <w:rPr>
          <w:rFonts w:ascii="Times New Roman" w:hAnsi="Times New Roman" w:cs="Times New Roman"/>
          <w:sz w:val="24"/>
          <w:szCs w:val="24"/>
        </w:rPr>
        <w:t>п</w:t>
      </w:r>
      <w:r w:rsidR="00995D6E" w:rsidRPr="00E118C3">
        <w:rPr>
          <w:rFonts w:ascii="Times New Roman" w:hAnsi="Times New Roman" w:cs="Times New Roman"/>
          <w:sz w:val="24"/>
          <w:szCs w:val="24"/>
        </w:rPr>
        <w:t>ри 4% от извършените проверки</w:t>
      </w:r>
      <w:r w:rsidR="00995D6E">
        <w:rPr>
          <w:rFonts w:ascii="Times New Roman" w:hAnsi="Times New Roman" w:cs="Times New Roman"/>
          <w:sz w:val="24"/>
          <w:szCs w:val="24"/>
        </w:rPr>
        <w:t>.</w:t>
      </w:r>
    </w:p>
    <w:p w:rsidR="008205BB" w:rsidRDefault="008205BB" w:rsidP="0032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Някои от по-характерните нарушения и съответно санкционирани от БД обекти са следните:</w:t>
      </w:r>
    </w:p>
    <w:p w:rsidR="008205BB" w:rsidRPr="003E3B08" w:rsidRDefault="008205BB" w:rsidP="0082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15F78">
        <w:rPr>
          <w:rFonts w:ascii="Times New Roman" w:hAnsi="Times New Roman" w:cs="Times New Roman"/>
          <w:sz w:val="24"/>
          <w:szCs w:val="24"/>
        </w:rPr>
        <w:t>констатирано водовземане, чрез водовземни съоръжения за питейно-битово водоснабдяване от подземни води без притежаване на действащо разрешително за водовземане, издадено съгласно чл.44, ал.1 от Закона за водите, БДДР е наложила имуществена санкция на „Водоснабдяване – Дунав” ЕООД гр. Разград, на стойност 18 352 лв., и на „Водоснабдяване и канализация” ООД гр. Враца, на стойност 2 420 лв.</w:t>
      </w:r>
    </w:p>
    <w:p w:rsidR="008205BB" w:rsidRPr="00693CAA" w:rsidRDefault="008205BB" w:rsidP="0082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AA">
        <w:rPr>
          <w:rFonts w:ascii="Times New Roman" w:hAnsi="Times New Roman" w:cs="Times New Roman"/>
          <w:sz w:val="24"/>
          <w:szCs w:val="24"/>
        </w:rPr>
        <w:t>При извършена проверка от БДЧР е наложена имуществена санкция на „</w:t>
      </w:r>
      <w:proofErr w:type="spellStart"/>
      <w:r w:rsidRPr="00693CA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693CAA">
        <w:rPr>
          <w:rFonts w:ascii="Times New Roman" w:hAnsi="Times New Roman" w:cs="Times New Roman"/>
          <w:sz w:val="24"/>
          <w:szCs w:val="24"/>
        </w:rPr>
        <w:t>“ ЕАД, гр. Бургас, на стойност 1000 лв., за констатирано неизпълнение на предписание, за предприемане на действия по учредяване на санитарно-охранителна зона около каптирани извори 1 и 2, разположени в землището на с. Карагеоргиево, община Айтос, област Бургас, които дружеството експлоатира с цел питейно-битово водоснабдяване на с. Карагеоргиево.</w:t>
      </w:r>
    </w:p>
    <w:p w:rsidR="008205BB" w:rsidRPr="003E3B08" w:rsidRDefault="008205BB" w:rsidP="0082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F1">
        <w:rPr>
          <w:rFonts w:ascii="Times New Roman" w:hAnsi="Times New Roman" w:cs="Times New Roman"/>
          <w:sz w:val="24"/>
          <w:szCs w:val="24"/>
        </w:rPr>
        <w:t xml:space="preserve">При извършена проверка от БДЗБР е наложена имуществена санкция в размер на 2000 лв. на Сдружение за напояване „Санданска Бистрица“, гр. Сандански, тъй като дружеството без да притежава разрешително за водовземане, издадено по реда и условията на Закона за водите, извършва водовземане и предоставя/продава вода на трети лица.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117F1">
        <w:rPr>
          <w:rFonts w:ascii="Times New Roman" w:hAnsi="Times New Roman" w:cs="Times New Roman"/>
          <w:sz w:val="24"/>
          <w:szCs w:val="24"/>
        </w:rPr>
        <w:t>а констатираното нерегламентирано водовземане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3117F1">
        <w:rPr>
          <w:rFonts w:ascii="Times New Roman" w:hAnsi="Times New Roman" w:cs="Times New Roman"/>
          <w:sz w:val="24"/>
          <w:szCs w:val="24"/>
        </w:rPr>
        <w:t>а три от обектите, водоснабдявани от СН „Санданска Бистрица“, също са съставени актове и изд</w:t>
      </w:r>
      <w:r>
        <w:rPr>
          <w:rFonts w:ascii="Times New Roman" w:hAnsi="Times New Roman" w:cs="Times New Roman"/>
          <w:sz w:val="24"/>
          <w:szCs w:val="24"/>
        </w:rPr>
        <w:t>адени НП, в размер на 2 000 лв.</w:t>
      </w:r>
      <w:r w:rsidRPr="0031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BB" w:rsidRPr="003117F1" w:rsidRDefault="008205BB" w:rsidP="0082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AA">
        <w:rPr>
          <w:rFonts w:ascii="Times New Roman" w:hAnsi="Times New Roman" w:cs="Times New Roman"/>
          <w:sz w:val="24"/>
          <w:szCs w:val="24"/>
        </w:rPr>
        <w:t xml:space="preserve">Във връзка с реконструкцията на съществуващ водосток с обща дължина 46 метра на дере в землището на село Висока поляна, общ. Кърджали без издадено разрешително за ползване на воден обект, на община Кърджали, </w:t>
      </w:r>
      <w:proofErr w:type="spellStart"/>
      <w:r w:rsidRPr="00693CA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693CAA">
        <w:rPr>
          <w:rFonts w:ascii="Times New Roman" w:hAnsi="Times New Roman" w:cs="Times New Roman"/>
          <w:sz w:val="24"/>
          <w:szCs w:val="24"/>
        </w:rPr>
        <w:t xml:space="preserve">. Кърджали е наложена имуществена </w:t>
      </w:r>
      <w:r w:rsidRPr="003117F1">
        <w:rPr>
          <w:rFonts w:ascii="Times New Roman" w:hAnsi="Times New Roman" w:cs="Times New Roman"/>
          <w:sz w:val="24"/>
          <w:szCs w:val="24"/>
        </w:rPr>
        <w:t>санкция на стойност 2000 лв.</w:t>
      </w:r>
    </w:p>
    <w:p w:rsidR="008205BB" w:rsidRPr="003117F1" w:rsidRDefault="008205BB" w:rsidP="0082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F1">
        <w:rPr>
          <w:rFonts w:ascii="Times New Roman" w:hAnsi="Times New Roman" w:cs="Times New Roman"/>
          <w:sz w:val="24"/>
          <w:szCs w:val="24"/>
        </w:rPr>
        <w:t xml:space="preserve">По повод извършването на проверки за проводимост на реките, от страна на БДИБР е наложена имуществена санкция на община Рудозем, </w:t>
      </w:r>
      <w:proofErr w:type="spellStart"/>
      <w:r w:rsidRPr="003117F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117F1">
        <w:rPr>
          <w:rFonts w:ascii="Times New Roman" w:hAnsi="Times New Roman" w:cs="Times New Roman"/>
          <w:sz w:val="24"/>
          <w:szCs w:val="24"/>
        </w:rPr>
        <w:t xml:space="preserve">. Смолян  на стойност 500 лв., за констатирана неосигурена проводимост на речното легло на река </w:t>
      </w:r>
      <w:proofErr w:type="spellStart"/>
      <w:r w:rsidRPr="003117F1">
        <w:rPr>
          <w:rFonts w:ascii="Times New Roman" w:hAnsi="Times New Roman" w:cs="Times New Roman"/>
          <w:sz w:val="24"/>
          <w:szCs w:val="24"/>
        </w:rPr>
        <w:t>Елховска</w:t>
      </w:r>
      <w:proofErr w:type="spellEnd"/>
      <w:r w:rsidRPr="003117F1">
        <w:rPr>
          <w:rFonts w:ascii="Times New Roman" w:hAnsi="Times New Roman" w:cs="Times New Roman"/>
          <w:sz w:val="24"/>
          <w:szCs w:val="24"/>
        </w:rPr>
        <w:t xml:space="preserve"> в участък  от 200 м. преди въжен мост към стадиона до 300 м. след моста в землището на град Рудозем. </w:t>
      </w:r>
    </w:p>
    <w:p w:rsidR="008205BB" w:rsidRPr="003117F1" w:rsidRDefault="008205BB" w:rsidP="008205BB">
      <w:pPr>
        <w:spacing w:after="0" w:line="240" w:lineRule="auto"/>
        <w:ind w:firstLine="709"/>
        <w:jc w:val="both"/>
      </w:pPr>
      <w:r w:rsidRPr="003117F1">
        <w:rPr>
          <w:rFonts w:ascii="Times New Roman" w:hAnsi="Times New Roman" w:cs="Times New Roman"/>
          <w:sz w:val="24"/>
          <w:szCs w:val="24"/>
        </w:rPr>
        <w:t xml:space="preserve">Отново за същото нарушение, на община Златоград, </w:t>
      </w:r>
      <w:proofErr w:type="spellStart"/>
      <w:r w:rsidRPr="003117F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117F1">
        <w:rPr>
          <w:rFonts w:ascii="Times New Roman" w:hAnsi="Times New Roman" w:cs="Times New Roman"/>
          <w:sz w:val="24"/>
          <w:szCs w:val="24"/>
        </w:rPr>
        <w:t>. Смолян  е наложена имуществена санкция на стойност 500 лв., за констатирана неосигурена проводимост на речното легло на река Голяма река в участък от табелата на град Златоград до бент срещу бензиностанция „Петрол” в землището на гр. Златоград.</w:t>
      </w:r>
      <w:r w:rsidRPr="003117F1">
        <w:t xml:space="preserve"> </w:t>
      </w:r>
    </w:p>
    <w:p w:rsidR="00315F78" w:rsidRDefault="00315F78" w:rsidP="006D3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F0B" w:rsidRDefault="00321F0B" w:rsidP="0032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F41" w:rsidRPr="00E118C3" w:rsidRDefault="000B6BD2" w:rsidP="00321F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8C3">
        <w:rPr>
          <w:rFonts w:ascii="Times New Roman" w:hAnsi="Times New Roman" w:cs="Times New Roman"/>
          <w:b/>
          <w:i/>
          <w:sz w:val="24"/>
          <w:szCs w:val="24"/>
        </w:rPr>
        <w:t>IV.Кратко обобщение по отношение на постигнат ефект спрямо околната среда, бизнеса и обществеността от осъществената контролна дейност</w:t>
      </w:r>
      <w:r w:rsidR="00580344" w:rsidRPr="00E118C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7FCF" w:rsidRPr="00E118C3" w:rsidRDefault="00DC7FCF" w:rsidP="000B6B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2B9" w:rsidRDefault="00580344" w:rsidP="009C5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18C3">
        <w:rPr>
          <w:rFonts w:ascii="Times New Roman" w:hAnsi="Times New Roman" w:cs="Times New Roman"/>
          <w:sz w:val="24"/>
          <w:szCs w:val="24"/>
        </w:rPr>
        <w:tab/>
      </w:r>
      <w:r w:rsidR="00206E5F">
        <w:rPr>
          <w:rFonts w:ascii="Times New Roman" w:hAnsi="Times New Roman" w:cs="Times New Roman"/>
          <w:sz w:val="24"/>
          <w:szCs w:val="24"/>
        </w:rPr>
        <w:t xml:space="preserve">Осъществената от басейновите дирекции </w:t>
      </w:r>
      <w:r w:rsidR="00FE7227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контролна дейност</w:t>
      </w:r>
      <w:r w:rsidR="00C84ACC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6E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цели</w:t>
      </w:r>
      <w:r w:rsidR="00B172B9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опазва</w:t>
      </w:r>
      <w:r w:rsidR="009C5CD3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чистотата на водните ресурси</w:t>
      </w:r>
      <w:r w:rsidR="00206E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9C5CD3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правилното им използване;</w:t>
      </w:r>
      <w:r w:rsidR="00B172B9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6E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превенция и </w:t>
      </w:r>
      <w:r w:rsidR="00B172B9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недопускане на нарушения на Закона за водите</w:t>
      </w:r>
      <w:r w:rsidR="00FE7227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в случаи на констатирани нарушения</w:t>
      </w:r>
      <w:r w:rsidR="00B172B9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налага</w:t>
      </w:r>
      <w:r w:rsidR="00206E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на</w:t>
      </w:r>
      <w:r w:rsidR="00B172B9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имуществени с</w:t>
      </w:r>
      <w:r w:rsidR="00C84ACC"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анкции и глоби на нарушителите.</w:t>
      </w:r>
    </w:p>
    <w:p w:rsidR="00823069" w:rsidRPr="00E118C3" w:rsidRDefault="00823069" w:rsidP="009C5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Проверките свързани с </w:t>
      </w:r>
      <w:r w:rsidR="007252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набиране на необходимата информация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изчисляване и заплащане на дължимите такси по разрешителни са гарант както за постигане на добра събираемост, така и за коректност в отношенията с бизнеса при определяне на дължимите такси и спазване изискванията на законодателството.</w:t>
      </w:r>
    </w:p>
    <w:p w:rsidR="00580344" w:rsidRPr="00E118C3" w:rsidRDefault="009C5CD3" w:rsidP="00DB4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1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80344" w:rsidRPr="00E118C3">
        <w:rPr>
          <w:rFonts w:ascii="Times New Roman" w:hAnsi="Times New Roman" w:cs="Times New Roman"/>
          <w:sz w:val="24"/>
          <w:szCs w:val="24"/>
        </w:rPr>
        <w:t xml:space="preserve"> </w:t>
      </w:r>
      <w:r w:rsidR="00C37DCC" w:rsidRPr="00E118C3">
        <w:rPr>
          <w:rFonts w:ascii="Times New Roman" w:hAnsi="Times New Roman" w:cs="Times New Roman"/>
          <w:sz w:val="24"/>
          <w:szCs w:val="24"/>
        </w:rPr>
        <w:t xml:space="preserve">Извършвания от БД </w:t>
      </w:r>
      <w:r w:rsidR="00A96911" w:rsidRPr="00E118C3">
        <w:rPr>
          <w:rFonts w:ascii="Times New Roman" w:hAnsi="Times New Roman" w:cs="Times New Roman"/>
          <w:sz w:val="24"/>
          <w:szCs w:val="24"/>
        </w:rPr>
        <w:t>превантивен контрол върху проводимостта на речните легла</w:t>
      </w:r>
      <w:r w:rsidR="00206E5F">
        <w:rPr>
          <w:rFonts w:ascii="Times New Roman" w:hAnsi="Times New Roman" w:cs="Times New Roman"/>
          <w:sz w:val="24"/>
          <w:szCs w:val="24"/>
        </w:rPr>
        <w:t xml:space="preserve"> и</w:t>
      </w:r>
      <w:r w:rsidR="00A96911" w:rsidRPr="00E118C3">
        <w:rPr>
          <w:rFonts w:ascii="Times New Roman" w:hAnsi="Times New Roman" w:cs="Times New Roman"/>
          <w:sz w:val="24"/>
          <w:szCs w:val="24"/>
        </w:rPr>
        <w:t xml:space="preserve">  </w:t>
      </w:r>
      <w:r w:rsidR="00A96911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 участъка до 500м. след язовирната стена</w:t>
      </w:r>
      <w:r w:rsidR="00C37DCC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E32C00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спомага за </w:t>
      </w:r>
      <w:r w:rsidR="00406DAF" w:rsidRPr="00E118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намаляване на потенциалните неблагоприятни последици засягащи гражданите, околната среда, културното наследство, техническата инфраструктура и стопанската дейност.</w:t>
      </w:r>
    </w:p>
    <w:p w:rsidR="0086012A" w:rsidRPr="00E118C3" w:rsidRDefault="0086012A" w:rsidP="000B6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AF0" w:rsidRPr="00E118C3" w:rsidRDefault="00A55AF0" w:rsidP="00B1475F">
      <w:pPr>
        <w:rPr>
          <w:rFonts w:ascii="Times New Roman" w:hAnsi="Times New Roman" w:cs="Times New Roman"/>
          <w:sz w:val="24"/>
          <w:szCs w:val="24"/>
        </w:rPr>
      </w:pPr>
    </w:p>
    <w:sectPr w:rsidR="00A55AF0" w:rsidRPr="00E118C3" w:rsidSect="00B514E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2CF"/>
    <w:multiLevelType w:val="hybridMultilevel"/>
    <w:tmpl w:val="13ECBA7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33AF1"/>
    <w:multiLevelType w:val="hybridMultilevel"/>
    <w:tmpl w:val="E6943B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34531"/>
    <w:multiLevelType w:val="hybridMultilevel"/>
    <w:tmpl w:val="52AC20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21560"/>
    <w:multiLevelType w:val="hybridMultilevel"/>
    <w:tmpl w:val="8EB645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B3B83"/>
    <w:multiLevelType w:val="hybridMultilevel"/>
    <w:tmpl w:val="56E861C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C305BF7"/>
    <w:multiLevelType w:val="hybridMultilevel"/>
    <w:tmpl w:val="DCF436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173A3"/>
    <w:multiLevelType w:val="hybridMultilevel"/>
    <w:tmpl w:val="97A880A2"/>
    <w:lvl w:ilvl="0" w:tplc="0402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F"/>
    <w:rsid w:val="00000C59"/>
    <w:rsid w:val="00026A50"/>
    <w:rsid w:val="00047F5B"/>
    <w:rsid w:val="000531F1"/>
    <w:rsid w:val="000B535C"/>
    <w:rsid w:val="000B6BD2"/>
    <w:rsid w:val="001021A3"/>
    <w:rsid w:val="00115FF5"/>
    <w:rsid w:val="00152471"/>
    <w:rsid w:val="001A5E92"/>
    <w:rsid w:val="001B19EF"/>
    <w:rsid w:val="001E513E"/>
    <w:rsid w:val="00206E5F"/>
    <w:rsid w:val="0022496B"/>
    <w:rsid w:val="00234ADA"/>
    <w:rsid w:val="00292D54"/>
    <w:rsid w:val="002A65E8"/>
    <w:rsid w:val="002A7D4A"/>
    <w:rsid w:val="002C1ED2"/>
    <w:rsid w:val="002D039D"/>
    <w:rsid w:val="002E3F39"/>
    <w:rsid w:val="002F0BD8"/>
    <w:rsid w:val="00300813"/>
    <w:rsid w:val="00306731"/>
    <w:rsid w:val="003117F1"/>
    <w:rsid w:val="00314BD2"/>
    <w:rsid w:val="00315F78"/>
    <w:rsid w:val="00321F0B"/>
    <w:rsid w:val="0034295F"/>
    <w:rsid w:val="003710FC"/>
    <w:rsid w:val="0038007B"/>
    <w:rsid w:val="003837E9"/>
    <w:rsid w:val="00384978"/>
    <w:rsid w:val="003E3B08"/>
    <w:rsid w:val="003F05C2"/>
    <w:rsid w:val="003F3B7B"/>
    <w:rsid w:val="00406A81"/>
    <w:rsid w:val="00406DAF"/>
    <w:rsid w:val="00414570"/>
    <w:rsid w:val="004161C2"/>
    <w:rsid w:val="00454FAF"/>
    <w:rsid w:val="00457E3F"/>
    <w:rsid w:val="00485F2A"/>
    <w:rsid w:val="004D757D"/>
    <w:rsid w:val="004F5EC8"/>
    <w:rsid w:val="004F7FB7"/>
    <w:rsid w:val="00536F71"/>
    <w:rsid w:val="00580344"/>
    <w:rsid w:val="0059629F"/>
    <w:rsid w:val="005B4F35"/>
    <w:rsid w:val="005D76E7"/>
    <w:rsid w:val="005D76EB"/>
    <w:rsid w:val="005E4C43"/>
    <w:rsid w:val="005E6C38"/>
    <w:rsid w:val="00602013"/>
    <w:rsid w:val="00610E47"/>
    <w:rsid w:val="00616DB6"/>
    <w:rsid w:val="00624F52"/>
    <w:rsid w:val="00662BC8"/>
    <w:rsid w:val="0066442B"/>
    <w:rsid w:val="00681DAC"/>
    <w:rsid w:val="006842B9"/>
    <w:rsid w:val="00693CAA"/>
    <w:rsid w:val="006A3F43"/>
    <w:rsid w:val="006C58AA"/>
    <w:rsid w:val="006D38C6"/>
    <w:rsid w:val="006D6738"/>
    <w:rsid w:val="0072521B"/>
    <w:rsid w:val="00726C8E"/>
    <w:rsid w:val="00743288"/>
    <w:rsid w:val="00795C7C"/>
    <w:rsid w:val="007A5FE8"/>
    <w:rsid w:val="007C5BFC"/>
    <w:rsid w:val="00814716"/>
    <w:rsid w:val="008205BB"/>
    <w:rsid w:val="00823069"/>
    <w:rsid w:val="00854047"/>
    <w:rsid w:val="0086012A"/>
    <w:rsid w:val="00897B36"/>
    <w:rsid w:val="008A472B"/>
    <w:rsid w:val="008D2A9A"/>
    <w:rsid w:val="008D2AF7"/>
    <w:rsid w:val="008D7FBE"/>
    <w:rsid w:val="008F63B2"/>
    <w:rsid w:val="00963C20"/>
    <w:rsid w:val="00980C66"/>
    <w:rsid w:val="00984AC2"/>
    <w:rsid w:val="00995D6E"/>
    <w:rsid w:val="009C3210"/>
    <w:rsid w:val="009C5CD3"/>
    <w:rsid w:val="009C66AA"/>
    <w:rsid w:val="009E01BC"/>
    <w:rsid w:val="009F242A"/>
    <w:rsid w:val="00A04BCD"/>
    <w:rsid w:val="00A405A5"/>
    <w:rsid w:val="00A55AE2"/>
    <w:rsid w:val="00A55AF0"/>
    <w:rsid w:val="00A632CC"/>
    <w:rsid w:val="00A704BB"/>
    <w:rsid w:val="00A748D7"/>
    <w:rsid w:val="00A80A8B"/>
    <w:rsid w:val="00A96911"/>
    <w:rsid w:val="00AA21F7"/>
    <w:rsid w:val="00AD054D"/>
    <w:rsid w:val="00AD7AE0"/>
    <w:rsid w:val="00B0631E"/>
    <w:rsid w:val="00B14754"/>
    <w:rsid w:val="00B1475F"/>
    <w:rsid w:val="00B16FD9"/>
    <w:rsid w:val="00B172B9"/>
    <w:rsid w:val="00B31EB3"/>
    <w:rsid w:val="00B37A63"/>
    <w:rsid w:val="00B37DE9"/>
    <w:rsid w:val="00B514EF"/>
    <w:rsid w:val="00B53727"/>
    <w:rsid w:val="00B606D8"/>
    <w:rsid w:val="00B67290"/>
    <w:rsid w:val="00B72785"/>
    <w:rsid w:val="00B82226"/>
    <w:rsid w:val="00B952A4"/>
    <w:rsid w:val="00BA4EA4"/>
    <w:rsid w:val="00BB4F98"/>
    <w:rsid w:val="00BB7636"/>
    <w:rsid w:val="00BC449A"/>
    <w:rsid w:val="00BD6EBE"/>
    <w:rsid w:val="00BF2F1C"/>
    <w:rsid w:val="00BF5E99"/>
    <w:rsid w:val="00C07AAB"/>
    <w:rsid w:val="00C1777F"/>
    <w:rsid w:val="00C20E77"/>
    <w:rsid w:val="00C37DCC"/>
    <w:rsid w:val="00C427AD"/>
    <w:rsid w:val="00C84ACC"/>
    <w:rsid w:val="00CD36ED"/>
    <w:rsid w:val="00D00663"/>
    <w:rsid w:val="00D41200"/>
    <w:rsid w:val="00D46362"/>
    <w:rsid w:val="00D64F41"/>
    <w:rsid w:val="00D70A31"/>
    <w:rsid w:val="00D90A0A"/>
    <w:rsid w:val="00DA4468"/>
    <w:rsid w:val="00DB4221"/>
    <w:rsid w:val="00DC5DD6"/>
    <w:rsid w:val="00DC7FCF"/>
    <w:rsid w:val="00DD0AC5"/>
    <w:rsid w:val="00DD3BEE"/>
    <w:rsid w:val="00DD785F"/>
    <w:rsid w:val="00DE2B28"/>
    <w:rsid w:val="00DE63DF"/>
    <w:rsid w:val="00E05E74"/>
    <w:rsid w:val="00E118C3"/>
    <w:rsid w:val="00E31AAE"/>
    <w:rsid w:val="00E32C00"/>
    <w:rsid w:val="00E57683"/>
    <w:rsid w:val="00E80060"/>
    <w:rsid w:val="00E9176D"/>
    <w:rsid w:val="00EA2665"/>
    <w:rsid w:val="00EA7AC9"/>
    <w:rsid w:val="00F07584"/>
    <w:rsid w:val="00F11CB7"/>
    <w:rsid w:val="00F269BE"/>
    <w:rsid w:val="00F81A8E"/>
    <w:rsid w:val="00FA2A35"/>
    <w:rsid w:val="00FB3200"/>
    <w:rsid w:val="00FB7466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2016-06-09T08:31:00Z</cp:lastPrinted>
  <dcterms:created xsi:type="dcterms:W3CDTF">2016-06-14T05:17:00Z</dcterms:created>
  <dcterms:modified xsi:type="dcterms:W3CDTF">2016-06-15T13:28:00Z</dcterms:modified>
</cp:coreProperties>
</file>